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5C" w:rsidRDefault="000B3E99" w:rsidP="000B3E99">
      <w:pPr>
        <w:pStyle w:val="Ttulo1"/>
      </w:pPr>
      <w:r>
        <w:t>Presentación</w:t>
      </w:r>
    </w:p>
    <w:p w:rsidR="000B3E99" w:rsidRDefault="000B3E99" w:rsidP="000B3E99"/>
    <w:p w:rsidR="000B3E99" w:rsidRPr="004033C7" w:rsidRDefault="000B3E99" w:rsidP="000B3E99">
      <w:pPr>
        <w:rPr>
          <w:rFonts w:cs="Arial"/>
        </w:rPr>
      </w:pPr>
      <w:r w:rsidRPr="004033C7">
        <w:rPr>
          <w:rFonts w:cs="Arial"/>
        </w:rPr>
        <w:t>El presente informe corresponde al Estudio de Capacidad Vial de</w:t>
      </w:r>
      <w:r>
        <w:rPr>
          <w:rFonts w:cs="Arial"/>
        </w:rPr>
        <w:t xml:space="preserve"> la Modificación de</w:t>
      </w:r>
      <w:r w:rsidRPr="004033C7">
        <w:rPr>
          <w:rFonts w:cs="Arial"/>
        </w:rPr>
        <w:t xml:space="preserve">l Plan Regulador Comunal (PRC) de </w:t>
      </w:r>
      <w:r>
        <w:rPr>
          <w:rFonts w:cs="Arial"/>
        </w:rPr>
        <w:t xml:space="preserve">San Miguel </w:t>
      </w:r>
      <w:r w:rsidR="001B5810">
        <w:rPr>
          <w:rFonts w:cs="Arial"/>
        </w:rPr>
        <w:t>que modifica una zona residencial de renovación y la convierte en una zona industrial mixta. El objetivo de este estudio</w:t>
      </w:r>
      <w:r>
        <w:rPr>
          <w:rFonts w:cs="Arial"/>
        </w:rPr>
        <w:t xml:space="preserve"> es demostrar que la modificación propuesta no cambia las conclusiones del Estudio de Capacidad Vial aprobado junto con el PRC vigente que garantiza que la vialidad estructurante definida y sus fajas propuestas son capaces de absorber la demanda producida por las </w:t>
      </w:r>
      <w:r w:rsidRPr="004033C7">
        <w:rPr>
          <w:rFonts w:cs="Arial"/>
        </w:rPr>
        <w:t>actividades residenciales y no residenciales presentes en el área de estudio, prestando un nivel de servicio adecuado a los usuarios.</w:t>
      </w:r>
    </w:p>
    <w:p w:rsidR="000B3E99" w:rsidRDefault="000B3E99" w:rsidP="000B3E99">
      <w:pPr>
        <w:rPr>
          <w:rFonts w:cs="Arial"/>
        </w:rPr>
      </w:pPr>
    </w:p>
    <w:p w:rsidR="002E717C" w:rsidRDefault="002E717C" w:rsidP="000B3E99">
      <w:pPr>
        <w:rPr>
          <w:szCs w:val="24"/>
          <w:lang w:val="es-CL"/>
        </w:rPr>
      </w:pPr>
      <w:r>
        <w:rPr>
          <w:rFonts w:cs="Arial"/>
        </w:rPr>
        <w:t>Para ello, se demostrará que el cambio propuesto no modifica mayormente la generación y atracción de viajes y que las condiciones de saturación de la vialidad estructurante se mantiene en las mismas condiciones que se evaluaron en el estudio de capacidad vial original aprobado junto con el PRC me</w:t>
      </w:r>
      <w:r>
        <w:rPr>
          <w:szCs w:val="24"/>
          <w:lang w:val="es-CL"/>
        </w:rPr>
        <w:t>diante el Decreto Exento Nº</w:t>
      </w:r>
      <w:r>
        <w:rPr>
          <w:sz w:val="6"/>
          <w:szCs w:val="6"/>
          <w:lang w:val="es-CL"/>
        </w:rPr>
        <w:t xml:space="preserve"> </w:t>
      </w:r>
      <w:r>
        <w:rPr>
          <w:szCs w:val="24"/>
          <w:lang w:val="es-CL"/>
        </w:rPr>
        <w:t>2401, de fecha 16 de Noviembre del 2005.</w:t>
      </w:r>
    </w:p>
    <w:p w:rsidR="002E717C" w:rsidRDefault="002E717C" w:rsidP="000B3E99">
      <w:pPr>
        <w:rPr>
          <w:szCs w:val="24"/>
          <w:lang w:val="es-CL"/>
        </w:rPr>
      </w:pPr>
    </w:p>
    <w:p w:rsidR="000B3E99" w:rsidRDefault="002E717C" w:rsidP="002E717C">
      <w:pPr>
        <w:pStyle w:val="Ttulo1"/>
        <w:rPr>
          <w:lang w:val="es-CL"/>
        </w:rPr>
      </w:pPr>
      <w:r>
        <w:rPr>
          <w:lang w:val="es-CL"/>
        </w:rPr>
        <w:t>Antecedentes del estudio de capacidad vial del prc vigente</w:t>
      </w:r>
    </w:p>
    <w:p w:rsidR="002E717C" w:rsidRDefault="002E717C" w:rsidP="002E717C">
      <w:pPr>
        <w:rPr>
          <w:lang w:val="es-CL"/>
        </w:rPr>
      </w:pPr>
    </w:p>
    <w:p w:rsidR="002E717C"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El Análisis de Capacidad de Vial del Plano Regulador Comunal de San Miguel fue desarrollado por la empresa consultora ECOHAB CONSULTORES (2001), y en él se ha utilizado el modelo de equilibrio simultaneo Estraus, el cual fue desarrollado por el Estado de Chile, a través de la Secretaría Ejecutiva de la Comisión de Planificación de Inversiones en Infraestructura de Transporte – SECTRA. Este modelo (Estraus) resuelve en forma simultánea las etapas de Generación Atracción, Distribución, Partición Modal y Asignación (a redes de transporte) del modelo clásico de transporte aplicado sobre el territorio normado por el PRMS.</w:t>
      </w:r>
    </w:p>
    <w:p w:rsidR="00566834" w:rsidRDefault="00566834" w:rsidP="00566834">
      <w:pPr>
        <w:widowControl/>
        <w:autoSpaceDE w:val="0"/>
        <w:autoSpaceDN w:val="0"/>
        <w:adjustRightInd w:val="0"/>
        <w:rPr>
          <w:lang w:val="es-CL"/>
        </w:rPr>
      </w:pPr>
    </w:p>
    <w:p w:rsidR="00EA1FA5"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 xml:space="preserve">En el cuadro siguiente se presentan los resultados de la corrida del modelo en donde se muestra para los ejes estructurantes de la comuna la demanda de transporte </w:t>
      </w:r>
      <w:r w:rsidR="00EA1FA5">
        <w:rPr>
          <w:rFonts w:ascii="ArialNarrow" w:hAnsi="ArialNarrow" w:cs="ArialNarrow"/>
          <w:spacing w:val="0"/>
          <w:sz w:val="23"/>
          <w:szCs w:val="23"/>
          <w:lang w:val="es-MX" w:eastAsia="es-MX"/>
        </w:rPr>
        <w:t>(</w:t>
      </w:r>
      <w:r>
        <w:rPr>
          <w:rFonts w:ascii="ArialNarrow" w:hAnsi="ArialNarrow" w:cs="ArialNarrow"/>
          <w:spacing w:val="0"/>
          <w:sz w:val="23"/>
          <w:szCs w:val="23"/>
          <w:lang w:val="es-MX" w:eastAsia="es-MX"/>
        </w:rPr>
        <w:t>a</w:t>
      </w:r>
      <w:r w:rsidR="00EA1FA5">
        <w:rPr>
          <w:rFonts w:ascii="ArialNarrow" w:hAnsi="ArialNarrow" w:cs="ArialNarrow"/>
          <w:spacing w:val="0"/>
          <w:sz w:val="23"/>
          <w:szCs w:val="23"/>
          <w:lang w:val="es-MX" w:eastAsia="es-MX"/>
        </w:rPr>
        <w:t xml:space="preserve"> </w:t>
      </w:r>
      <w:r>
        <w:rPr>
          <w:rFonts w:ascii="ArialNarrow" w:hAnsi="ArialNarrow" w:cs="ArialNarrow"/>
          <w:spacing w:val="0"/>
          <w:sz w:val="23"/>
          <w:szCs w:val="23"/>
          <w:lang w:val="es-MX" w:eastAsia="es-MX"/>
        </w:rPr>
        <w:t xml:space="preserve">nivel de flujos vehiculares) sobre ellos y su grado de </w:t>
      </w:r>
      <w:r w:rsidR="00EA1FA5">
        <w:rPr>
          <w:rFonts w:ascii="ArialNarrow" w:hAnsi="ArialNarrow" w:cs="ArialNarrow"/>
          <w:spacing w:val="0"/>
          <w:sz w:val="23"/>
          <w:szCs w:val="23"/>
          <w:lang w:val="es-MX" w:eastAsia="es-MX"/>
        </w:rPr>
        <w:t>saturación</w:t>
      </w:r>
      <w:r>
        <w:rPr>
          <w:rFonts w:ascii="ArialNarrow" w:hAnsi="ArialNarrow" w:cs="ArialNarrow"/>
          <w:spacing w:val="0"/>
          <w:sz w:val="23"/>
          <w:szCs w:val="23"/>
          <w:lang w:val="es-MX" w:eastAsia="es-MX"/>
        </w:rPr>
        <w:t xml:space="preserve">. Cabe mencionar que se entiende que un eje es capaz de absorber los flujos cuando su grado de saturación alcanza niveles del 90%. </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EA1FA5" w:rsidRDefault="00EA1FA5" w:rsidP="00EA1FA5">
      <w:pPr>
        <w:pStyle w:val="Titulocuadro"/>
        <w:rPr>
          <w:lang w:val="es-MX" w:eastAsia="es-MX"/>
        </w:rPr>
      </w:pPr>
      <w:r>
        <w:rPr>
          <w:lang w:val="es-MX" w:eastAsia="es-MX"/>
        </w:rPr>
        <w:t>Resultados ECV vigente</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tblPr>
      <w:tblGrid>
        <w:gridCol w:w="907"/>
        <w:gridCol w:w="1813"/>
        <w:gridCol w:w="911"/>
        <w:gridCol w:w="992"/>
        <w:gridCol w:w="850"/>
        <w:gridCol w:w="838"/>
        <w:gridCol w:w="851"/>
        <w:gridCol w:w="929"/>
      </w:tblGrid>
      <w:tr w:rsidR="00EA1FA5" w:rsidTr="002847B1">
        <w:trPr>
          <w:trHeight w:val="262"/>
          <w:tblHeader/>
          <w:jc w:val="center"/>
        </w:trPr>
        <w:tc>
          <w:tcPr>
            <w:tcW w:w="907"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COD</w:t>
            </w:r>
          </w:p>
        </w:tc>
        <w:tc>
          <w:tcPr>
            <w:tcW w:w="1813"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Nombre</w:t>
            </w:r>
          </w:p>
        </w:tc>
        <w:tc>
          <w:tcPr>
            <w:tcW w:w="91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A</w:t>
            </w:r>
          </w:p>
        </w:tc>
        <w:tc>
          <w:tcPr>
            <w:tcW w:w="992"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B</w:t>
            </w:r>
          </w:p>
        </w:tc>
        <w:tc>
          <w:tcPr>
            <w:tcW w:w="850"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CAPAC</w:t>
            </w:r>
          </w:p>
        </w:tc>
        <w:tc>
          <w:tcPr>
            <w:tcW w:w="838"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FFIJO</w:t>
            </w:r>
          </w:p>
        </w:tc>
        <w:tc>
          <w:tcPr>
            <w:tcW w:w="85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FEQV</w:t>
            </w:r>
          </w:p>
        </w:tc>
        <w:tc>
          <w:tcPr>
            <w:tcW w:w="929"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GS</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Isabel Riquelme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701450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496,08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2769,21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2521,16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Carlos Valdovinos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1981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242,46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1374,22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71,27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1507,10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1925,15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C-17-S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Pedro Alarcon</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406,10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48,75%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843,98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50,69%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Salesianos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701260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538,72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462,97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3700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284,07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1436,99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 Nicolás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575,27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41,67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627,03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256,62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30,81%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942,35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343,69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556,58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356,45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42,79%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M-15-S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Departamental</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1147,76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24,71%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115,63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2630,01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9104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120,87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2347,43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61,45%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3216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127,37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2148,64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5241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2834,01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42,63%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2614,46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68,44%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T-9-S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Lo Ovalle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290,15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512,28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312,34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1630,39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337,59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492,06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375,39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1608,52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478,85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843,82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347,89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1928</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1122,02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58,20%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Gran Avenida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860,84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4174,34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118,12%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740,56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824,38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4578,54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129,56%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1176,85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4481,47</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1011,04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734,36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3854,59</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109,07%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1446,11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40,92%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722,36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4022,21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741,12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1457,25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3800,82</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691,00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26,94%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4322,83</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122,32%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676,00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1055,83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697,25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4328,98</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122,50%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652,57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1749,61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49,51%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679,05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5570,91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80,39%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639,86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1732,96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638,89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4519,85</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127,90%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Santa Rosa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221,24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11,95%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1552,59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199,96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10,80%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1237,20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330,48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1001,30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121,57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882,92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158,60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1448,76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78,27%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172,22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1114,20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60,19%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519,43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967,79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52,28%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76,08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898,10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1017,56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54,97%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204,75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1450,34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219,78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60,86%</w:t>
            </w:r>
          </w:p>
        </w:tc>
      </w:tr>
    </w:tbl>
    <w:p w:rsidR="00EA1FA5" w:rsidRPr="00EA1FA5" w:rsidRDefault="00EA1FA5" w:rsidP="00EA1FA5">
      <w:pPr>
        <w:pStyle w:val="Cuadro"/>
        <w:rPr>
          <w:sz w:val="16"/>
          <w:lang w:val="es-MX" w:eastAsia="es-MX"/>
        </w:rPr>
      </w:pPr>
      <w:r>
        <w:rPr>
          <w:sz w:val="16"/>
          <w:lang w:val="es-MX" w:eastAsia="es-MX"/>
        </w:rPr>
        <w:t>Fuente: Estudio de capacidad vial aprobado el 2005 desarrollado por ECOHAB Consultores.</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18214F"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 xml:space="preserve">Al observar los resultados se </w:t>
      </w:r>
      <w:r w:rsidR="00EA1FA5">
        <w:rPr>
          <w:rFonts w:ascii="ArialNarrow" w:hAnsi="ArialNarrow" w:cs="ArialNarrow"/>
          <w:spacing w:val="0"/>
          <w:sz w:val="23"/>
          <w:szCs w:val="23"/>
          <w:lang w:val="es-MX" w:eastAsia="es-MX"/>
        </w:rPr>
        <w:t xml:space="preserve">concluye que el </w:t>
      </w:r>
      <w:r>
        <w:rPr>
          <w:rFonts w:ascii="ArialNarrow" w:hAnsi="ArialNarrow" w:cs="ArialNarrow"/>
          <w:spacing w:val="0"/>
          <w:sz w:val="23"/>
          <w:szCs w:val="23"/>
          <w:lang w:val="es-MX" w:eastAsia="es-MX"/>
        </w:rPr>
        <w:t>único eje que presenta problemas de saturación corresponde al eje Gran Avenida que presenta los mayores niveles de congestión, y en donde, existen arcos que superan el 100% de saturación.</w:t>
      </w:r>
      <w:r w:rsidR="00EA1FA5">
        <w:rPr>
          <w:rFonts w:ascii="ArialNarrow" w:hAnsi="ArialNarrow" w:cs="ArialNarrow"/>
          <w:spacing w:val="0"/>
          <w:sz w:val="23"/>
          <w:szCs w:val="23"/>
          <w:lang w:val="es-MX" w:eastAsia="es-MX"/>
        </w:rPr>
        <w:t xml:space="preserve"> Sin perjuicio de ello en las conclusiones del estudio se plantea que p</w:t>
      </w:r>
      <w:r>
        <w:rPr>
          <w:rFonts w:ascii="ArialNarrow" w:hAnsi="ArialNarrow" w:cs="ArialNarrow"/>
          <w:spacing w:val="0"/>
          <w:sz w:val="23"/>
          <w:szCs w:val="23"/>
          <w:lang w:val="es-MX" w:eastAsia="es-MX"/>
        </w:rPr>
        <w:t>ara resolver los problemas de congestión de las vías expuestas</w:t>
      </w:r>
      <w:r w:rsidR="00EA1FA5">
        <w:rPr>
          <w:rFonts w:ascii="ArialNarrow" w:hAnsi="ArialNarrow" w:cs="ArialNarrow"/>
          <w:spacing w:val="0"/>
          <w:sz w:val="23"/>
          <w:szCs w:val="23"/>
          <w:lang w:val="es-MX" w:eastAsia="es-MX"/>
        </w:rPr>
        <w:t xml:space="preserve"> se debe concretar el </w:t>
      </w:r>
      <w:r>
        <w:rPr>
          <w:rFonts w:ascii="ArialNarrow" w:hAnsi="ArialNarrow" w:cs="ArialNarrow"/>
          <w:spacing w:val="0"/>
          <w:sz w:val="23"/>
          <w:szCs w:val="23"/>
          <w:lang w:val="es-MX" w:eastAsia="es-MX"/>
        </w:rPr>
        <w:t xml:space="preserve">proyecto de mejoramiento de Gran Avenida </w:t>
      </w:r>
      <w:r w:rsidR="00EA1FA5">
        <w:rPr>
          <w:rFonts w:ascii="ArialNarrow" w:hAnsi="ArialNarrow" w:cs="ArialNarrow"/>
          <w:spacing w:val="0"/>
          <w:sz w:val="23"/>
          <w:szCs w:val="23"/>
          <w:lang w:val="es-MX" w:eastAsia="es-MX"/>
        </w:rPr>
        <w:t xml:space="preserve">que </w:t>
      </w:r>
      <w:r w:rsidR="0018214F">
        <w:rPr>
          <w:rFonts w:ascii="ArialNarrow" w:hAnsi="ArialNarrow" w:cs="ArialNarrow"/>
          <w:spacing w:val="0"/>
          <w:sz w:val="23"/>
          <w:szCs w:val="23"/>
          <w:lang w:val="es-MX" w:eastAsia="es-MX"/>
        </w:rPr>
        <w:t>conlleva a un aumento de su capacidad que resuelve las saturaciones estimadas.</w:t>
      </w:r>
    </w:p>
    <w:p w:rsidR="0018214F" w:rsidRDefault="0018214F" w:rsidP="00566834">
      <w:pPr>
        <w:widowControl/>
        <w:autoSpaceDE w:val="0"/>
        <w:autoSpaceDN w:val="0"/>
        <w:adjustRightInd w:val="0"/>
        <w:rPr>
          <w:rFonts w:ascii="ArialNarrow" w:hAnsi="ArialNarrow" w:cs="ArialNarrow"/>
          <w:spacing w:val="0"/>
          <w:sz w:val="23"/>
          <w:szCs w:val="23"/>
          <w:lang w:val="es-MX" w:eastAsia="es-MX"/>
        </w:rPr>
      </w:pPr>
    </w:p>
    <w:p w:rsidR="002E717C" w:rsidRDefault="002E717C" w:rsidP="002E717C">
      <w:pPr>
        <w:pStyle w:val="Ttulo1"/>
        <w:rPr>
          <w:lang w:val="es-CL"/>
        </w:rPr>
      </w:pPr>
      <w:r>
        <w:rPr>
          <w:lang w:val="es-CL"/>
        </w:rPr>
        <w:t>Modificacion propuesta</w:t>
      </w:r>
    </w:p>
    <w:p w:rsidR="002E717C" w:rsidRPr="005929DB" w:rsidRDefault="002E717C" w:rsidP="005929DB">
      <w:pPr>
        <w:rPr>
          <w:rFonts w:cs="Arial"/>
          <w:lang w:val="es-CL"/>
        </w:rPr>
      </w:pPr>
    </w:p>
    <w:p w:rsidR="005929DB" w:rsidRDefault="005929DB" w:rsidP="00697186">
      <w:pPr>
        <w:rPr>
          <w:rFonts w:cs="Arial"/>
          <w:spacing w:val="-2"/>
          <w:szCs w:val="24"/>
        </w:rPr>
      </w:pPr>
      <w:r w:rsidRPr="005929DB">
        <w:rPr>
          <w:rFonts w:cs="Arial"/>
          <w:szCs w:val="24"/>
        </w:rPr>
        <w:t xml:space="preserve">La modificación </w:t>
      </w:r>
      <w:r>
        <w:rPr>
          <w:rFonts w:cs="Arial"/>
          <w:szCs w:val="24"/>
        </w:rPr>
        <w:t xml:space="preserve">propuesta </w:t>
      </w:r>
      <w:r w:rsidRPr="005929DB">
        <w:rPr>
          <w:rFonts w:cs="Arial"/>
          <w:szCs w:val="24"/>
        </w:rPr>
        <w:t xml:space="preserve">tiene </w:t>
      </w:r>
      <w:r w:rsidR="007F7AFB" w:rsidRPr="00C9149A">
        <w:rPr>
          <w:szCs w:val="24"/>
          <w:lang w:val="es-CL"/>
        </w:rPr>
        <w:t xml:space="preserve">por objetivo </w:t>
      </w:r>
      <w:r w:rsidR="001B5810" w:rsidRPr="001B5810">
        <w:rPr>
          <w:szCs w:val="24"/>
          <w:lang w:val="es-CL"/>
        </w:rPr>
        <w:t>definir una nueva zona</w:t>
      </w:r>
      <w:r w:rsidR="007F7AFB" w:rsidRPr="001B5810">
        <w:rPr>
          <w:szCs w:val="24"/>
          <w:lang w:val="es-CL"/>
        </w:rPr>
        <w:t xml:space="preserve"> Industrial Mixta incorporando una condicionante nueva a la actual </w:t>
      </w:r>
      <w:r w:rsidR="001B5810" w:rsidRPr="001B5810">
        <w:rPr>
          <w:szCs w:val="24"/>
          <w:lang w:val="es-CL"/>
        </w:rPr>
        <w:t xml:space="preserve">definición normativa de la </w:t>
      </w:r>
      <w:r w:rsidR="007F7AFB" w:rsidRPr="001B5810">
        <w:rPr>
          <w:szCs w:val="24"/>
          <w:lang w:val="es-CL"/>
        </w:rPr>
        <w:t xml:space="preserve">ZU – 4, creando </w:t>
      </w:r>
      <w:r w:rsidR="001B5810" w:rsidRPr="001B5810">
        <w:rPr>
          <w:szCs w:val="24"/>
          <w:lang w:val="es-CL"/>
        </w:rPr>
        <w:t xml:space="preserve">así </w:t>
      </w:r>
      <w:r w:rsidR="007F7AFB" w:rsidRPr="001B5810">
        <w:rPr>
          <w:szCs w:val="24"/>
          <w:lang w:val="es-CL"/>
        </w:rPr>
        <w:t>una zona ZU-4` que normará el polígono comprendido entre las calles; Salesianos al norte, Montreal al oriente, fondos de sitio de predios que enfrentan la calle Montreal entre Pedro Mira y Ureta Cox hacia el oriente, Ureta Cox al sur y Chiloé en sentido poniente. Dicho polígono actualmente corresponde a la Zona Residencial de Renovación (ZU – 2) y tiene</w:t>
      </w:r>
      <w:r w:rsidR="00697186" w:rsidRPr="001B5810">
        <w:rPr>
          <w:rFonts w:cs="Arial"/>
          <w:spacing w:val="-2"/>
          <w:szCs w:val="24"/>
        </w:rPr>
        <w:t xml:space="preserve"> una superficie de </w:t>
      </w:r>
      <w:r w:rsidR="00202286" w:rsidRPr="001B5810">
        <w:rPr>
          <w:rFonts w:cs="Arial"/>
          <w:spacing w:val="-2"/>
          <w:szCs w:val="24"/>
        </w:rPr>
        <w:t>425.000</w:t>
      </w:r>
      <w:r w:rsidR="00FF5376" w:rsidRPr="001B5810">
        <w:rPr>
          <w:rFonts w:cs="Arial"/>
          <w:spacing w:val="-2"/>
          <w:szCs w:val="24"/>
        </w:rPr>
        <w:t xml:space="preserve"> m2, aproximadamente</w:t>
      </w:r>
      <w:r w:rsidR="00697186" w:rsidRPr="001B5810">
        <w:rPr>
          <w:rFonts w:cs="Arial"/>
          <w:spacing w:val="-2"/>
          <w:szCs w:val="24"/>
        </w:rPr>
        <w:t>. En la figura siguiente se muestra el área afecta a la modificación.</w:t>
      </w:r>
    </w:p>
    <w:p w:rsidR="00697186" w:rsidRDefault="00697186" w:rsidP="00697186">
      <w:pPr>
        <w:rPr>
          <w:rFonts w:cs="Arial"/>
          <w:spacing w:val="-2"/>
          <w:szCs w:val="24"/>
        </w:rPr>
      </w:pPr>
    </w:p>
    <w:p w:rsidR="00697186" w:rsidRPr="00B438DB" w:rsidRDefault="00094629" w:rsidP="00094629">
      <w:pPr>
        <w:pStyle w:val="Titulofigura"/>
      </w:pPr>
      <w:r w:rsidRPr="00B438DB">
        <w:t>Localización del área afecta a la Modificación</w:t>
      </w:r>
    </w:p>
    <w:p w:rsidR="00094629" w:rsidRPr="005929DB" w:rsidRDefault="00EB4D83" w:rsidP="00094629">
      <w:pPr>
        <w:jc w:val="center"/>
      </w:pPr>
      <w:r>
        <w:rPr>
          <w:noProof/>
          <w:lang w:val="es-ES"/>
        </w:rPr>
        <w:drawing>
          <wp:inline distT="0" distB="0" distL="0" distR="0">
            <wp:extent cx="3000375" cy="24574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782" t="12149" r="21767" b="19212"/>
                    <a:stretch>
                      <a:fillRect/>
                    </a:stretch>
                  </pic:blipFill>
                  <pic:spPr bwMode="auto">
                    <a:xfrm>
                      <a:off x="0" y="0"/>
                      <a:ext cx="3000375" cy="2457450"/>
                    </a:xfrm>
                    <a:prstGeom prst="rect">
                      <a:avLst/>
                    </a:prstGeom>
                    <a:noFill/>
                    <a:ln w="9525">
                      <a:noFill/>
                      <a:miter lim="800000"/>
                      <a:headEnd/>
                      <a:tailEnd/>
                    </a:ln>
                  </pic:spPr>
                </pic:pic>
              </a:graphicData>
            </a:graphic>
          </wp:inline>
        </w:drawing>
      </w:r>
    </w:p>
    <w:p w:rsidR="005929DB" w:rsidRDefault="005929DB" w:rsidP="005929DB">
      <w:pPr>
        <w:rPr>
          <w:rFonts w:cs="Arial"/>
          <w:spacing w:val="-2"/>
          <w:szCs w:val="24"/>
        </w:rPr>
      </w:pPr>
    </w:p>
    <w:p w:rsidR="0094002D" w:rsidRPr="0094002D" w:rsidRDefault="0094002D" w:rsidP="0094002D">
      <w:pPr>
        <w:rPr>
          <w:rFonts w:cs="Arial"/>
          <w:szCs w:val="24"/>
        </w:rPr>
      </w:pPr>
      <w:r w:rsidRPr="0094002D">
        <w:rPr>
          <w:rFonts w:cs="Arial"/>
          <w:szCs w:val="24"/>
        </w:rPr>
        <w:t xml:space="preserve">La modificación se orienta principalmente a la creación de nuevas zonas mixtas </w:t>
      </w:r>
      <w:r w:rsidRPr="0094002D">
        <w:rPr>
          <w:rFonts w:cs="Arial"/>
          <w:szCs w:val="24"/>
        </w:rPr>
        <w:lastRenderedPageBreak/>
        <w:t xml:space="preserve">controladas, que permitan el funcionamiento de industrias inofensivas en conjunto con la vivienda, de tal manera que el municipio pueda contar con herramientas más efectivas que le permitan controlar el funcionamiento adecuado de una actividad productiva que se ha desarrollado a lo largo de la historia de la comuna en dicho sector y al mismo tiempo permita asegurar el bienestar de todos los residentes del área. </w:t>
      </w:r>
      <w:r w:rsidRPr="001B5810">
        <w:rPr>
          <w:rFonts w:cs="Arial"/>
          <w:szCs w:val="24"/>
        </w:rPr>
        <w:t xml:space="preserve">De esta forma, la presente modificación </w:t>
      </w:r>
      <w:r w:rsidR="001B5810" w:rsidRPr="001B5810">
        <w:rPr>
          <w:rFonts w:cs="Arial"/>
          <w:szCs w:val="24"/>
        </w:rPr>
        <w:t>permite un</w:t>
      </w:r>
      <w:r w:rsidRPr="001B5810">
        <w:rPr>
          <w:rFonts w:cs="Arial"/>
          <w:szCs w:val="24"/>
        </w:rPr>
        <w:t xml:space="preserve"> uso asociado a actividades que actualmente se desarrollan en el sector, situación que se evidencia por la presencia de industrias, talleres y centros de almacenaje.</w:t>
      </w:r>
    </w:p>
    <w:p w:rsidR="005929DB" w:rsidRPr="005929DB" w:rsidRDefault="005929DB" w:rsidP="005929DB">
      <w:pPr>
        <w:rPr>
          <w:rFonts w:cs="Arial"/>
          <w:b/>
          <w:szCs w:val="24"/>
        </w:rPr>
      </w:pPr>
    </w:p>
    <w:p w:rsidR="00BC6D68" w:rsidRDefault="00BC6D68" w:rsidP="00BC6D68">
      <w:pPr>
        <w:pStyle w:val="Ttulo2"/>
        <w:rPr>
          <w:lang w:val="es-CL"/>
        </w:rPr>
      </w:pPr>
      <w:r>
        <w:rPr>
          <w:lang w:val="es-CL"/>
        </w:rPr>
        <w:t>Normativa actual</w:t>
      </w:r>
    </w:p>
    <w:p w:rsidR="00BC6D68" w:rsidRDefault="00BC6D68" w:rsidP="00BC6D68">
      <w:pPr>
        <w:pStyle w:val="Standard"/>
        <w:tabs>
          <w:tab w:val="left" w:pos="993"/>
        </w:tabs>
        <w:ind w:left="567"/>
        <w:jc w:val="both"/>
      </w:pPr>
    </w:p>
    <w:p w:rsidR="00BC6D68" w:rsidRDefault="00BC6D68" w:rsidP="00BC6D68">
      <w:pPr>
        <w:rPr>
          <w:szCs w:val="24"/>
        </w:rPr>
      </w:pPr>
      <w:r>
        <w:t xml:space="preserve">El Plan </w:t>
      </w:r>
      <w:r w:rsidR="001B5810">
        <w:t>R</w:t>
      </w:r>
      <w:r>
        <w:t xml:space="preserve">egulador Comunal de San Miguel </w:t>
      </w:r>
      <w:r w:rsidRPr="00B77E6C">
        <w:t xml:space="preserve">señala que los terrenos considerados para esta modificación corresponden </w:t>
      </w:r>
      <w:r>
        <w:t xml:space="preserve">a la Zona </w:t>
      </w:r>
      <w:r w:rsidR="0082470A">
        <w:t>ZU</w:t>
      </w:r>
      <w:r w:rsidR="00E336F7">
        <w:t>-</w:t>
      </w:r>
      <w:r w:rsidR="0082470A">
        <w:t>2</w:t>
      </w:r>
      <w:r>
        <w:t>;</w:t>
      </w:r>
      <w:r w:rsidRPr="00B77E6C">
        <w:t xml:space="preserve"> </w:t>
      </w:r>
      <w:r w:rsidR="00ED2B95">
        <w:t>Residencial de renovación.</w:t>
      </w:r>
      <w:r>
        <w:t xml:space="preserve"> </w:t>
      </w:r>
      <w:r>
        <w:rPr>
          <w:szCs w:val="24"/>
        </w:rPr>
        <w:t xml:space="preserve">Al respecto, la normativa actual </w:t>
      </w:r>
      <w:r w:rsidR="00E336F7" w:rsidRPr="00E336F7">
        <w:rPr>
          <w:szCs w:val="24"/>
        </w:rPr>
        <w:t>señala</w:t>
      </w:r>
      <w:r>
        <w:rPr>
          <w:szCs w:val="24"/>
        </w:rPr>
        <w:t xml:space="preserve"> lo siguiente:</w:t>
      </w:r>
    </w:p>
    <w:p w:rsidR="0082470A" w:rsidRDefault="0082470A" w:rsidP="0082470A">
      <w:pPr>
        <w:pStyle w:val="Standard"/>
        <w:tabs>
          <w:tab w:val="left" w:pos="993"/>
        </w:tabs>
        <w:ind w:firstLine="567"/>
        <w:jc w:val="both"/>
        <w:rPr>
          <w:sz w:val="24"/>
          <w:szCs w:val="24"/>
          <w:lang w:val="es-CL"/>
        </w:rPr>
      </w:pPr>
    </w:p>
    <w:p w:rsidR="0082470A" w:rsidRPr="00ED2B95" w:rsidRDefault="0082470A" w:rsidP="0082470A">
      <w:pPr>
        <w:pStyle w:val="Standard"/>
        <w:tabs>
          <w:tab w:val="left" w:pos="993"/>
        </w:tabs>
        <w:jc w:val="both"/>
        <w:rPr>
          <w:rFonts w:ascii="Arial" w:hAnsi="Arial" w:cs="Arial"/>
          <w:sz w:val="24"/>
          <w:szCs w:val="24"/>
          <w:lang w:val="es-CL"/>
        </w:rPr>
      </w:pPr>
      <w:r w:rsidRPr="00ED2B95">
        <w:rPr>
          <w:rFonts w:ascii="Arial" w:hAnsi="Arial" w:cs="Arial"/>
          <w:sz w:val="24"/>
          <w:szCs w:val="24"/>
          <w:lang w:val="es-CL"/>
        </w:rPr>
        <w:t>USOS PERMITIDOS</w:t>
      </w:r>
    </w:p>
    <w:p w:rsidR="0082470A" w:rsidRPr="00ED2B95" w:rsidRDefault="0082470A" w:rsidP="0082470A">
      <w:pPr>
        <w:pStyle w:val="Standard"/>
        <w:tabs>
          <w:tab w:val="left" w:pos="993"/>
        </w:tabs>
        <w:ind w:firstLine="567"/>
        <w:jc w:val="both"/>
        <w:rPr>
          <w:rFonts w:ascii="Arial" w:hAnsi="Arial" w:cs="Arial"/>
          <w:sz w:val="24"/>
          <w:szCs w:val="24"/>
          <w:lang w:val="es-CL"/>
        </w:rPr>
      </w:pPr>
    </w:p>
    <w:p w:rsidR="0082470A" w:rsidRPr="00ED2B95" w:rsidRDefault="0082470A" w:rsidP="0082470A">
      <w:pPr>
        <w:pStyle w:val="Standard"/>
        <w:numPr>
          <w:ilvl w:val="3"/>
          <w:numId w:val="25"/>
        </w:numPr>
        <w:tabs>
          <w:tab w:val="left" w:pos="993"/>
        </w:tabs>
        <w:ind w:firstLine="567"/>
        <w:jc w:val="both"/>
        <w:rPr>
          <w:rFonts w:ascii="Arial" w:hAnsi="Arial" w:cs="Arial"/>
          <w:sz w:val="24"/>
          <w:szCs w:val="24"/>
          <w:lang w:val="es-CL"/>
        </w:rPr>
      </w:pPr>
      <w:r w:rsidRPr="00ED2B95">
        <w:rPr>
          <w:rFonts w:ascii="Arial" w:hAnsi="Arial" w:cs="Arial"/>
          <w:sz w:val="24"/>
          <w:szCs w:val="24"/>
          <w:lang w:val="es-CL"/>
        </w:rPr>
        <w:t xml:space="preserve">RESIDENCIAL: Vivienda, sin perjuicio de lo cual, se autoriza la implantación de comercio en el 1er. piso. Aquellos usos definidos en el Art. 2.1.25. de la O.G.U.C. y los complementos a vivienda establecidos en el Art. 2.1.26. de la O.G.U.C.  </w:t>
      </w:r>
    </w:p>
    <w:p w:rsidR="0082470A" w:rsidRPr="00ED2B95" w:rsidRDefault="0082470A" w:rsidP="0082470A">
      <w:pPr>
        <w:pStyle w:val="Standard"/>
        <w:tabs>
          <w:tab w:val="left" w:pos="993"/>
        </w:tabs>
        <w:ind w:left="567"/>
        <w:jc w:val="both"/>
        <w:rPr>
          <w:rFonts w:ascii="Arial" w:hAnsi="Arial" w:cs="Arial"/>
          <w:sz w:val="24"/>
          <w:szCs w:val="24"/>
          <w:lang w:val="es-CL"/>
        </w:rPr>
      </w:pPr>
    </w:p>
    <w:p w:rsidR="0082470A" w:rsidRPr="00ED2B95" w:rsidRDefault="0082470A" w:rsidP="0082470A">
      <w:pPr>
        <w:pStyle w:val="Standard"/>
        <w:tabs>
          <w:tab w:val="left" w:pos="993"/>
        </w:tabs>
        <w:ind w:firstLine="567"/>
        <w:jc w:val="both"/>
        <w:rPr>
          <w:rFonts w:ascii="Arial" w:hAnsi="Arial" w:cs="Arial"/>
          <w:sz w:val="24"/>
          <w:szCs w:val="24"/>
          <w:lang w:val="es-CL"/>
        </w:rPr>
      </w:pPr>
      <w:r w:rsidRPr="00ED2B95">
        <w:rPr>
          <w:rFonts w:ascii="Arial" w:hAnsi="Arial" w:cs="Arial"/>
          <w:sz w:val="24"/>
          <w:szCs w:val="24"/>
          <w:lang w:val="es-CL"/>
        </w:rPr>
        <w:t xml:space="preserve">2. EQUIPAMIENTO: Comercio, culto y cultura, deportes, educación, esparcimiento, salud, seguridad, servicios, social. Cuando los servicios de carácter artesanal sean calificadas como “actividades productivas” no corresponderán a equipamiento de servicios, sin perjuicio de lo señalado en el Art. 2.1.28. de la O.G.U.C.    </w:t>
      </w:r>
    </w:p>
    <w:p w:rsidR="0082470A" w:rsidRPr="00ED2B95" w:rsidRDefault="0082470A" w:rsidP="0082470A">
      <w:pPr>
        <w:pStyle w:val="Standard"/>
        <w:tabs>
          <w:tab w:val="left" w:pos="993"/>
        </w:tabs>
        <w:ind w:firstLine="567"/>
        <w:jc w:val="both"/>
        <w:rPr>
          <w:rFonts w:ascii="Arial" w:hAnsi="Arial" w:cs="Arial"/>
          <w:sz w:val="24"/>
          <w:szCs w:val="24"/>
          <w:lang w:val="es-CL"/>
        </w:rPr>
      </w:pPr>
    </w:p>
    <w:p w:rsidR="0082470A" w:rsidRPr="00ED2B95" w:rsidRDefault="0082470A" w:rsidP="0082470A">
      <w:pPr>
        <w:pStyle w:val="Standard"/>
        <w:tabs>
          <w:tab w:val="left" w:pos="993"/>
        </w:tabs>
        <w:ind w:firstLine="567"/>
        <w:jc w:val="both"/>
        <w:rPr>
          <w:rFonts w:ascii="Arial" w:hAnsi="Arial" w:cs="Arial"/>
          <w:sz w:val="24"/>
          <w:szCs w:val="24"/>
          <w:lang w:val="es-CL"/>
        </w:rPr>
      </w:pPr>
      <w:r w:rsidRPr="00ED2B95">
        <w:rPr>
          <w:rFonts w:ascii="Arial" w:hAnsi="Arial" w:cs="Arial"/>
          <w:sz w:val="24"/>
          <w:szCs w:val="24"/>
          <w:lang w:val="es-CL"/>
        </w:rPr>
        <w:t xml:space="preserve">3. INFRAESTRUCTURA: De transporte como vías y estaciones de metro, estacionamientos. Sanitaria como canales de riego e Infraestructura Energética como ductos de distribución de gas.  </w:t>
      </w:r>
    </w:p>
    <w:p w:rsidR="0082470A" w:rsidRPr="00ED2B95" w:rsidRDefault="0082470A" w:rsidP="0082470A">
      <w:pPr>
        <w:pStyle w:val="Standard"/>
        <w:tabs>
          <w:tab w:val="left" w:pos="993"/>
        </w:tabs>
        <w:ind w:firstLine="567"/>
        <w:jc w:val="both"/>
        <w:rPr>
          <w:rFonts w:ascii="Arial" w:hAnsi="Arial" w:cs="Arial"/>
          <w:sz w:val="24"/>
          <w:szCs w:val="24"/>
          <w:lang w:val="es-CL"/>
        </w:rPr>
      </w:pPr>
    </w:p>
    <w:p w:rsidR="0082470A" w:rsidRPr="00ED2B95" w:rsidRDefault="0082470A" w:rsidP="0082470A">
      <w:pPr>
        <w:pStyle w:val="Standard"/>
        <w:tabs>
          <w:tab w:val="left" w:pos="993"/>
        </w:tabs>
        <w:ind w:firstLine="567"/>
        <w:jc w:val="both"/>
        <w:rPr>
          <w:rFonts w:ascii="Arial" w:hAnsi="Arial" w:cs="Arial"/>
          <w:sz w:val="24"/>
          <w:szCs w:val="24"/>
          <w:lang w:val="es-CL"/>
        </w:rPr>
      </w:pPr>
      <w:r w:rsidRPr="00ED2B95">
        <w:rPr>
          <w:rFonts w:ascii="Arial" w:hAnsi="Arial" w:cs="Arial"/>
          <w:sz w:val="24"/>
          <w:szCs w:val="24"/>
          <w:lang w:val="es-CL"/>
        </w:rPr>
        <w:t>4. ÁREAS VERDES: Bandejones y platabandas, parque, plaza, jardines.</w:t>
      </w:r>
    </w:p>
    <w:p w:rsidR="0082470A" w:rsidRPr="00ED2B95" w:rsidRDefault="0082470A" w:rsidP="0082470A">
      <w:pPr>
        <w:pStyle w:val="Standard"/>
        <w:tabs>
          <w:tab w:val="left" w:pos="993"/>
        </w:tabs>
        <w:ind w:firstLine="567"/>
        <w:jc w:val="both"/>
        <w:rPr>
          <w:rFonts w:ascii="Arial" w:hAnsi="Arial" w:cs="Arial"/>
          <w:sz w:val="24"/>
          <w:szCs w:val="24"/>
          <w:lang w:val="es-CL"/>
        </w:rPr>
      </w:pPr>
    </w:p>
    <w:p w:rsidR="0082470A" w:rsidRPr="00ED2B95" w:rsidRDefault="0082470A" w:rsidP="0082470A">
      <w:pPr>
        <w:pStyle w:val="Standard"/>
        <w:tabs>
          <w:tab w:val="left" w:pos="993"/>
        </w:tabs>
        <w:jc w:val="both"/>
        <w:rPr>
          <w:rFonts w:ascii="Arial" w:hAnsi="Arial" w:cs="Arial"/>
          <w:sz w:val="24"/>
          <w:szCs w:val="24"/>
          <w:lang w:val="es-CL"/>
        </w:rPr>
      </w:pPr>
      <w:r w:rsidRPr="00ED2B95">
        <w:rPr>
          <w:rFonts w:ascii="Arial" w:hAnsi="Arial" w:cs="Arial"/>
          <w:sz w:val="24"/>
          <w:szCs w:val="24"/>
          <w:lang w:val="es-CL"/>
        </w:rPr>
        <w:t>USOS PROHIBIDOS</w:t>
      </w:r>
    </w:p>
    <w:p w:rsidR="0082470A" w:rsidRPr="00ED2B95" w:rsidRDefault="0082470A" w:rsidP="0082470A">
      <w:pPr>
        <w:pStyle w:val="Standard"/>
        <w:tabs>
          <w:tab w:val="left" w:pos="993"/>
        </w:tabs>
        <w:ind w:firstLine="567"/>
        <w:jc w:val="both"/>
        <w:rPr>
          <w:rFonts w:ascii="Arial" w:hAnsi="Arial" w:cs="Arial"/>
          <w:sz w:val="24"/>
          <w:szCs w:val="24"/>
          <w:lang w:val="es-CL"/>
        </w:rPr>
      </w:pP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científico correspondiente a Centro de investigación científica y tecnológica.</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de comercio correspondiente a discotecas, empresa de control de peso de vehículos de carga, estación de servicio, grandes tiendas, mercados, multitiendas, supermercados.</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de culto y cultura correspondientes a canal de televisión, radioemisoras.</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 xml:space="preserve">Equipamiento de deporte correspondiente a estadio.  </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de esparcimiento correspondiente a autocine, cabaret, circo, club de campo, hotel, hostería, motel, parque de diversiones, pista de espectáculos, quinta de recreo, sala de eventos, salón de baile, salón de juegos, zona de picnic y zoológicos.</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lastRenderedPageBreak/>
        <w:t>Equipamiento de salud correspondiente a casa de reposo, clínica de recuperación médica, clínica psiquiátrica, hogar de ancianos, hospital.</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de seguridad correspondiente a cárceles y centros de detención.</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de servicios correspondiente a banco e institución financiera, asociación de fondos de pensiones, notario.</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Equipamiento social correspondiente a sede asociación política, sede gremial, sede sindical.</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Actividades de servicio de carácter similar al industrial.</w:t>
      </w:r>
    </w:p>
    <w:p w:rsidR="0082470A" w:rsidRPr="00ED2B95" w:rsidRDefault="0082470A" w:rsidP="0082470A">
      <w:pPr>
        <w:pStyle w:val="Standard"/>
        <w:numPr>
          <w:ilvl w:val="0"/>
          <w:numId w:val="31"/>
        </w:numPr>
        <w:tabs>
          <w:tab w:val="left" w:pos="993"/>
        </w:tabs>
        <w:jc w:val="both"/>
        <w:rPr>
          <w:rFonts w:ascii="Arial" w:hAnsi="Arial" w:cs="Arial"/>
          <w:color w:val="000000"/>
          <w:kern w:val="0"/>
          <w:sz w:val="24"/>
          <w:szCs w:val="24"/>
          <w:lang w:val="es-CL"/>
        </w:rPr>
      </w:pPr>
      <w:r w:rsidRPr="00ED2B95">
        <w:rPr>
          <w:rFonts w:ascii="Arial" w:hAnsi="Arial" w:cs="Arial"/>
          <w:color w:val="000000"/>
          <w:kern w:val="0"/>
          <w:sz w:val="24"/>
          <w:szCs w:val="24"/>
          <w:lang w:val="es-CL"/>
        </w:rPr>
        <w:t>Infraestructura correspondiente a disposición transitoria o final de residuos sólidos, estación ferroviaria, instalaciones de telecomunicaciones, instalaciones de televisión, plantas de tratamiento de aguas servidas, rodoviarios y terminales de locomoción colectiva urbana, terminales de taxis y radiotaxis, terminales de transporte terrestre.</w:t>
      </w:r>
    </w:p>
    <w:p w:rsidR="0082470A" w:rsidRPr="00ED2B95" w:rsidRDefault="0082470A" w:rsidP="0082470A">
      <w:pPr>
        <w:pStyle w:val="Standard"/>
        <w:tabs>
          <w:tab w:val="left" w:pos="993"/>
        </w:tabs>
        <w:ind w:firstLine="567"/>
        <w:jc w:val="both"/>
        <w:rPr>
          <w:rFonts w:ascii="Arial" w:hAnsi="Arial" w:cs="Arial"/>
          <w:color w:val="000000"/>
          <w:kern w:val="0"/>
          <w:lang w:val="es-CL"/>
        </w:rPr>
      </w:pPr>
    </w:p>
    <w:p w:rsidR="0082470A" w:rsidRPr="00ED2B95" w:rsidRDefault="0082470A" w:rsidP="0082470A">
      <w:pPr>
        <w:pStyle w:val="Standard"/>
        <w:ind w:hanging="1"/>
        <w:jc w:val="both"/>
        <w:rPr>
          <w:rFonts w:ascii="Arial" w:hAnsi="Arial" w:cs="Arial"/>
          <w:sz w:val="24"/>
          <w:szCs w:val="24"/>
        </w:rPr>
      </w:pPr>
      <w:r w:rsidRPr="00ED2B95">
        <w:rPr>
          <w:rFonts w:ascii="Arial" w:hAnsi="Arial" w:cs="Arial"/>
          <w:sz w:val="24"/>
          <w:szCs w:val="24"/>
        </w:rPr>
        <w:t>CUADRO DE NORMAS URBANÍSTICAS:</w:t>
      </w:r>
    </w:p>
    <w:p w:rsidR="0082470A" w:rsidRPr="00ED2B95" w:rsidRDefault="0082470A" w:rsidP="0082470A">
      <w:pPr>
        <w:pStyle w:val="Standard"/>
        <w:ind w:hanging="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934"/>
        <w:gridCol w:w="1456"/>
        <w:gridCol w:w="1069"/>
        <w:gridCol w:w="1281"/>
        <w:gridCol w:w="1509"/>
        <w:gridCol w:w="1038"/>
        <w:gridCol w:w="1234"/>
      </w:tblGrid>
      <w:tr w:rsidR="0082470A" w:rsidRPr="00ED2B95" w:rsidTr="0082470A">
        <w:tc>
          <w:tcPr>
            <w:tcW w:w="8978" w:type="dxa"/>
            <w:gridSpan w:val="8"/>
          </w:tcPr>
          <w:p w:rsidR="0082470A" w:rsidRPr="00ED2B95" w:rsidRDefault="0082470A" w:rsidP="0082470A">
            <w:pPr>
              <w:pStyle w:val="Standard"/>
              <w:widowControl w:val="0"/>
              <w:jc w:val="both"/>
              <w:rPr>
                <w:rFonts w:ascii="Arial" w:hAnsi="Arial" w:cs="Arial"/>
                <w:spacing w:val="-3"/>
                <w:sz w:val="24"/>
                <w:szCs w:val="24"/>
                <w:lang w:val="es-CL"/>
              </w:rPr>
            </w:pPr>
            <w:r w:rsidRPr="00ED2B95">
              <w:rPr>
                <w:rFonts w:ascii="Arial" w:hAnsi="Arial" w:cs="Arial"/>
                <w:spacing w:val="-3"/>
                <w:sz w:val="24"/>
                <w:szCs w:val="24"/>
                <w:lang w:val="es-CL"/>
              </w:rPr>
              <w:t>ZU-2</w:t>
            </w:r>
          </w:p>
        </w:tc>
      </w:tr>
      <w:tr w:rsidR="0082470A" w:rsidRPr="00ED2B95" w:rsidTr="0082470A">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Sup.predial m2 desde-hasta</w:t>
            </w:r>
          </w:p>
        </w:tc>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Altura max. n° pisos</w:t>
            </w:r>
          </w:p>
        </w:tc>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Coeficiente de constructibilidad</w:t>
            </w:r>
          </w:p>
        </w:tc>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Ocupación de suelo, coeficiente en primer piso</w:t>
            </w:r>
          </w:p>
        </w:tc>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Sistema de agrupamiento</w:t>
            </w:r>
          </w:p>
        </w:tc>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Rasantes y distanciamientos</w:t>
            </w:r>
          </w:p>
        </w:tc>
        <w:tc>
          <w:tcPr>
            <w:tcW w:w="1123"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Antejardín mínimo</w:t>
            </w:r>
          </w:p>
        </w:tc>
        <w:tc>
          <w:tcPr>
            <w:tcW w:w="1123"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Adosamiento %</w:t>
            </w:r>
          </w:p>
        </w:tc>
      </w:tr>
      <w:tr w:rsidR="0082470A" w:rsidRPr="00ED2B95" w:rsidTr="0082470A">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0-1000</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Rasante</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1.8</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0.7</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A-P*</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O.G.U.C.</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Art.11</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40</w:t>
            </w:r>
          </w:p>
        </w:tc>
      </w:tr>
      <w:tr w:rsidR="0082470A" w:rsidRPr="00ED2B95" w:rsidTr="0082470A">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1001-2000</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Rasante</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2.0</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0.65</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O.G.U.C.</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Art.11</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40</w:t>
            </w:r>
          </w:p>
        </w:tc>
      </w:tr>
      <w:tr w:rsidR="0082470A" w:rsidRPr="00ED2B95" w:rsidTr="0082470A">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2001-3000</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Rasante</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2.3</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0.60</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O.G.U.C.</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Art.11</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40</w:t>
            </w:r>
          </w:p>
        </w:tc>
      </w:tr>
      <w:tr w:rsidR="0082470A" w:rsidRPr="00ED2B95" w:rsidTr="0082470A">
        <w:tc>
          <w:tcPr>
            <w:tcW w:w="1122" w:type="dxa"/>
          </w:tcPr>
          <w:p w:rsidR="0082470A" w:rsidRPr="00ED2B95" w:rsidRDefault="0082470A" w:rsidP="0082470A">
            <w:pPr>
              <w:pStyle w:val="Standard"/>
              <w:widowControl w:val="0"/>
              <w:jc w:val="both"/>
              <w:rPr>
                <w:rFonts w:ascii="Arial" w:hAnsi="Arial" w:cs="Arial"/>
                <w:spacing w:val="-3"/>
                <w:sz w:val="18"/>
                <w:szCs w:val="18"/>
                <w:lang w:val="es-CL"/>
              </w:rPr>
            </w:pPr>
            <w:r w:rsidRPr="00ED2B95">
              <w:rPr>
                <w:rFonts w:ascii="Arial" w:hAnsi="Arial" w:cs="Arial"/>
                <w:spacing w:val="-3"/>
                <w:sz w:val="18"/>
                <w:szCs w:val="18"/>
                <w:lang w:val="es-CL"/>
              </w:rPr>
              <w:t>3000 y más</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Rasante</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2.5</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0.55</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w:t>
            </w:r>
          </w:p>
        </w:tc>
        <w:tc>
          <w:tcPr>
            <w:tcW w:w="1122"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O.G.U.C.</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Art.11</w:t>
            </w:r>
          </w:p>
        </w:tc>
        <w:tc>
          <w:tcPr>
            <w:tcW w:w="1123" w:type="dxa"/>
          </w:tcPr>
          <w:p w:rsidR="0082470A" w:rsidRPr="00ED2B95" w:rsidRDefault="0082470A" w:rsidP="0082470A">
            <w:pPr>
              <w:pStyle w:val="Standard"/>
              <w:widowControl w:val="0"/>
              <w:jc w:val="center"/>
              <w:rPr>
                <w:rFonts w:ascii="Arial" w:hAnsi="Arial" w:cs="Arial"/>
                <w:spacing w:val="-3"/>
                <w:sz w:val="18"/>
                <w:szCs w:val="18"/>
                <w:lang w:val="es-CL"/>
              </w:rPr>
            </w:pPr>
            <w:r w:rsidRPr="00ED2B95">
              <w:rPr>
                <w:rFonts w:ascii="Arial" w:hAnsi="Arial" w:cs="Arial"/>
                <w:spacing w:val="-3"/>
                <w:sz w:val="18"/>
                <w:szCs w:val="18"/>
                <w:lang w:val="es-CL"/>
              </w:rPr>
              <w:t>40</w:t>
            </w:r>
          </w:p>
        </w:tc>
      </w:tr>
    </w:tbl>
    <w:p w:rsidR="0082470A" w:rsidRPr="00ED2B95" w:rsidRDefault="0082470A" w:rsidP="0082470A">
      <w:pPr>
        <w:pStyle w:val="Standard"/>
        <w:ind w:hanging="1"/>
        <w:jc w:val="both"/>
        <w:rPr>
          <w:rFonts w:ascii="Arial" w:hAnsi="Arial" w:cs="Arial"/>
          <w:sz w:val="18"/>
          <w:szCs w:val="24"/>
          <w:lang w:val="es-CL"/>
        </w:rPr>
      </w:pPr>
      <w:r w:rsidRPr="00ED2B95">
        <w:rPr>
          <w:rFonts w:ascii="Arial" w:hAnsi="Arial" w:cs="Arial"/>
          <w:sz w:val="18"/>
          <w:szCs w:val="24"/>
          <w:lang w:val="es-CL"/>
        </w:rPr>
        <w:t>(*)A: Aislado</w:t>
      </w:r>
    </w:p>
    <w:p w:rsidR="0082470A" w:rsidRPr="00ED2B95" w:rsidRDefault="0082470A" w:rsidP="0082470A">
      <w:pPr>
        <w:pStyle w:val="Standard"/>
        <w:ind w:hanging="1"/>
        <w:jc w:val="both"/>
        <w:rPr>
          <w:rFonts w:ascii="Arial" w:hAnsi="Arial" w:cs="Arial"/>
          <w:sz w:val="18"/>
          <w:szCs w:val="24"/>
          <w:lang w:val="es-CL"/>
        </w:rPr>
      </w:pPr>
      <w:r w:rsidRPr="00ED2B95">
        <w:rPr>
          <w:rFonts w:ascii="Arial" w:hAnsi="Arial" w:cs="Arial"/>
          <w:sz w:val="18"/>
          <w:szCs w:val="24"/>
          <w:lang w:val="es-CL"/>
        </w:rPr>
        <w:t>(*)P: Pareado</w:t>
      </w:r>
    </w:p>
    <w:p w:rsidR="0082470A" w:rsidRPr="00ED2B95" w:rsidRDefault="0082470A" w:rsidP="0082470A">
      <w:pPr>
        <w:pStyle w:val="Standard"/>
        <w:ind w:hanging="1"/>
        <w:jc w:val="both"/>
        <w:rPr>
          <w:rFonts w:ascii="Arial" w:hAnsi="Arial" w:cs="Arial"/>
          <w:sz w:val="18"/>
          <w:szCs w:val="24"/>
          <w:lang w:val="es-CL"/>
        </w:rPr>
      </w:pPr>
    </w:p>
    <w:p w:rsidR="0082470A" w:rsidRPr="00ED2B95" w:rsidRDefault="0082470A" w:rsidP="0082470A">
      <w:pPr>
        <w:pStyle w:val="Standard"/>
        <w:ind w:hanging="1"/>
        <w:jc w:val="both"/>
        <w:rPr>
          <w:rFonts w:ascii="Arial" w:hAnsi="Arial" w:cs="Arial"/>
          <w:sz w:val="24"/>
          <w:szCs w:val="24"/>
          <w:lang w:val="es-CL"/>
        </w:rPr>
      </w:pPr>
      <w:r w:rsidRPr="00ED2B95">
        <w:rPr>
          <w:rFonts w:ascii="Arial" w:hAnsi="Arial" w:cs="Arial"/>
          <w:sz w:val="24"/>
          <w:szCs w:val="24"/>
          <w:lang w:val="es-CL"/>
        </w:rPr>
        <w:t>DISPOSICIONES COMPLEMENTARIAS:</w:t>
      </w:r>
    </w:p>
    <w:p w:rsidR="0082470A" w:rsidRPr="00ED2B95" w:rsidRDefault="0082470A" w:rsidP="0082470A">
      <w:pPr>
        <w:pStyle w:val="Standard"/>
        <w:ind w:hanging="1"/>
        <w:jc w:val="both"/>
        <w:rPr>
          <w:rFonts w:ascii="Arial" w:hAnsi="Arial" w:cs="Arial"/>
          <w:sz w:val="18"/>
          <w:szCs w:val="24"/>
          <w:lang w:val="es-CL"/>
        </w:rPr>
      </w:pPr>
    </w:p>
    <w:p w:rsidR="0082470A" w:rsidRPr="00ED2B95" w:rsidRDefault="0082470A" w:rsidP="00ED2B95">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Densidad bruta mínima: 400 Hab./Há</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Densidad neta mínima: 500 Hab./Há.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Los antejardines no pueden utilizarse para estacionamiento de vehículos.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Los estacionamientos a nivel de terreno sólo podrán ocupar el 20% del área libre o, de requerirse mayor porcentaje deberá destinar al menos un 30% de la superficie predial exclusivamente a prados y jardines incluyendo el área de antejardín.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Los estacionamientos en subterráneo sólo podrán ocupar el 70% de la superficie del terreno.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El equipamiento comercial de esta zona deberá tener una superficie mínima de 200 m2 construidos y cumplir la norma de estacionamientos señalada en el artículo 14 de esta Ordenanza.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 xml:space="preserve">Las construcciones pareadas no podrán sobrepasar los 9 m de altura medidos en el deslinde con los predios vecinos y su profundidad máxima será de 15 m o el equivalente al 40% del fondo del predio cuando la profundidad de este sea inferior a 25 m. Sobre esta altura el sistema de agrupamiento es aislado.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lastRenderedPageBreak/>
        <w:t xml:space="preserve">Se aplicará, para todos los sistemas de agrupamiento, cuando sea el caso, el inciso tercero del Art. 8º de la presente Ordenanza. </w:t>
      </w:r>
    </w:p>
    <w:p w:rsidR="0082470A" w:rsidRPr="00ED2B95" w:rsidRDefault="0082470A" w:rsidP="0082470A">
      <w:pPr>
        <w:pStyle w:val="Standard"/>
        <w:numPr>
          <w:ilvl w:val="0"/>
          <w:numId w:val="30"/>
        </w:numPr>
        <w:jc w:val="both"/>
        <w:rPr>
          <w:rFonts w:ascii="Arial" w:hAnsi="Arial" w:cs="Arial"/>
          <w:sz w:val="24"/>
          <w:szCs w:val="24"/>
          <w:lang w:val="es-CL"/>
        </w:rPr>
      </w:pPr>
      <w:r w:rsidRPr="00ED2B95">
        <w:rPr>
          <w:rFonts w:ascii="Arial" w:hAnsi="Arial" w:cs="Arial"/>
          <w:sz w:val="24"/>
          <w:szCs w:val="24"/>
          <w:lang w:val="es-CL"/>
        </w:rPr>
        <w:t>En esta zona, se aplica la restricción de altura de edificación correspondiente a áreas de aproximación de aeródromo, indicada en el Art.26° de esta Ordenanza.</w:t>
      </w:r>
    </w:p>
    <w:p w:rsidR="00BC6D68" w:rsidRPr="00EA1EFE" w:rsidRDefault="00BC6D68" w:rsidP="00BC6D68">
      <w:pPr>
        <w:pStyle w:val="Standard"/>
        <w:ind w:left="927"/>
        <w:jc w:val="both"/>
      </w:pPr>
    </w:p>
    <w:p w:rsidR="00BC6D68" w:rsidRDefault="00BC6D68" w:rsidP="00BC6D68">
      <w:pPr>
        <w:pStyle w:val="Ttulo2"/>
        <w:rPr>
          <w:lang w:val="es-CL"/>
        </w:rPr>
      </w:pPr>
      <w:r>
        <w:rPr>
          <w:lang w:val="es-CL"/>
        </w:rPr>
        <w:t>Normativa propuesta:</w:t>
      </w:r>
    </w:p>
    <w:p w:rsidR="00BC6D68" w:rsidRPr="002727AA" w:rsidRDefault="00BC6D68" w:rsidP="00BC6D68">
      <w:pPr>
        <w:pStyle w:val="Standard"/>
        <w:ind w:left="927"/>
        <w:jc w:val="both"/>
        <w:rPr>
          <w:sz w:val="24"/>
          <w:szCs w:val="24"/>
        </w:rPr>
      </w:pPr>
    </w:p>
    <w:p w:rsidR="00C466F7" w:rsidRDefault="00BC6D68" w:rsidP="001D33A9">
      <w:pPr>
        <w:rPr>
          <w:rFonts w:cs="Arial"/>
          <w:szCs w:val="24"/>
          <w:lang w:val="es-CL"/>
        </w:rPr>
      </w:pPr>
      <w:r>
        <w:rPr>
          <w:lang w:val="es-CL"/>
        </w:rPr>
        <w:t>La modificación propuesta s</w:t>
      </w:r>
      <w:r w:rsidR="001D33A9">
        <w:rPr>
          <w:lang w:val="es-CL"/>
        </w:rPr>
        <w:t xml:space="preserve">urge de la idea de </w:t>
      </w:r>
      <w:r w:rsidR="00C466F7" w:rsidRPr="00C466F7">
        <w:rPr>
          <w:rFonts w:cs="Arial"/>
          <w:szCs w:val="24"/>
          <w:lang w:val="es-CL"/>
        </w:rPr>
        <w:t xml:space="preserve">poder regularizar los predios que actualmente desarrollan actividades productivas, entregando </w:t>
      </w:r>
      <w:r w:rsidR="00E336F7">
        <w:rPr>
          <w:rFonts w:cs="Arial"/>
          <w:szCs w:val="24"/>
          <w:lang w:val="es-CL"/>
        </w:rPr>
        <w:t xml:space="preserve">al municipio </w:t>
      </w:r>
      <w:r w:rsidR="00C466F7" w:rsidRPr="00C466F7">
        <w:rPr>
          <w:rFonts w:cs="Arial"/>
          <w:szCs w:val="24"/>
          <w:lang w:val="es-CL"/>
        </w:rPr>
        <w:t>herramientas</w:t>
      </w:r>
      <w:r w:rsidR="00E336F7">
        <w:rPr>
          <w:rFonts w:cs="Arial"/>
          <w:szCs w:val="24"/>
          <w:lang w:val="es-CL"/>
        </w:rPr>
        <w:t xml:space="preserve"> </w:t>
      </w:r>
      <w:r w:rsidR="00E336F7" w:rsidRPr="00C466F7">
        <w:rPr>
          <w:rFonts w:cs="Arial"/>
          <w:szCs w:val="24"/>
          <w:lang w:val="es-CL"/>
        </w:rPr>
        <w:t>de fiscalización</w:t>
      </w:r>
      <w:r w:rsidR="00E336F7">
        <w:rPr>
          <w:rFonts w:cs="Arial"/>
          <w:szCs w:val="24"/>
          <w:lang w:val="es-CL"/>
        </w:rPr>
        <w:t xml:space="preserve"> adecuadas y eficientes, que validen a su vez la vocación productiva de la comuna.  </w:t>
      </w:r>
    </w:p>
    <w:p w:rsidR="00C466F7" w:rsidRPr="00C466F7" w:rsidRDefault="00C466F7" w:rsidP="00C466F7">
      <w:pPr>
        <w:pStyle w:val="Standard"/>
        <w:tabs>
          <w:tab w:val="left" w:pos="993"/>
        </w:tabs>
        <w:jc w:val="both"/>
        <w:rPr>
          <w:rFonts w:ascii="Arial" w:hAnsi="Arial" w:cs="Arial"/>
          <w:b/>
          <w:sz w:val="24"/>
          <w:szCs w:val="24"/>
          <w:lang w:val="es-CL"/>
        </w:rPr>
      </w:pPr>
    </w:p>
    <w:p w:rsidR="00C466F7" w:rsidRPr="00C466F7" w:rsidRDefault="00C466F7" w:rsidP="00C466F7">
      <w:pPr>
        <w:pStyle w:val="Standard"/>
        <w:tabs>
          <w:tab w:val="left" w:pos="993"/>
        </w:tabs>
        <w:jc w:val="both"/>
        <w:rPr>
          <w:rFonts w:ascii="Arial" w:hAnsi="Arial" w:cs="Arial"/>
          <w:sz w:val="24"/>
          <w:szCs w:val="24"/>
          <w:lang w:val="es-CL"/>
        </w:rPr>
      </w:pPr>
      <w:r w:rsidRPr="00C466F7">
        <w:rPr>
          <w:rFonts w:ascii="Arial" w:hAnsi="Arial" w:cs="Arial"/>
          <w:sz w:val="24"/>
          <w:szCs w:val="24"/>
          <w:lang w:val="es-CL"/>
        </w:rPr>
        <w:t>USOS PERMITIDOS</w:t>
      </w:r>
    </w:p>
    <w:p w:rsidR="00C466F7" w:rsidRPr="00C466F7" w:rsidRDefault="00C466F7" w:rsidP="00C466F7">
      <w:pPr>
        <w:pStyle w:val="Standard"/>
        <w:jc w:val="both"/>
        <w:rPr>
          <w:rFonts w:ascii="Arial" w:hAnsi="Arial" w:cs="Arial"/>
          <w:sz w:val="24"/>
          <w:szCs w:val="24"/>
          <w:lang w:val="es-CL"/>
        </w:rPr>
      </w:pPr>
    </w:p>
    <w:p w:rsidR="00C466F7" w:rsidRPr="00C466F7" w:rsidRDefault="00C466F7" w:rsidP="00C466F7">
      <w:pPr>
        <w:pStyle w:val="Standard"/>
        <w:numPr>
          <w:ilvl w:val="0"/>
          <w:numId w:val="32"/>
        </w:numPr>
        <w:tabs>
          <w:tab w:val="left" w:pos="993"/>
        </w:tabs>
        <w:ind w:left="0" w:firstLine="567"/>
        <w:jc w:val="both"/>
        <w:rPr>
          <w:rFonts w:ascii="Arial" w:hAnsi="Arial" w:cs="Arial"/>
          <w:sz w:val="24"/>
          <w:szCs w:val="24"/>
          <w:lang w:val="es-CL"/>
        </w:rPr>
      </w:pPr>
      <w:r w:rsidRPr="00C466F7">
        <w:rPr>
          <w:rFonts w:ascii="Arial" w:hAnsi="Arial" w:cs="Arial"/>
          <w:sz w:val="24"/>
          <w:szCs w:val="24"/>
          <w:lang w:val="es-CL"/>
        </w:rPr>
        <w:t xml:space="preserve">RESIDENCIAL: Vivienda, sin perjuicio de lo cual, se autoriza la implantación de comercio en el 1er. piso. Aquellos uso definidos en el Art. 2.1.25 de la O.G.U.C. y los complementos a vivienda establecidos en el Art. 2.1.26 de la O.G.U.C.  </w:t>
      </w:r>
    </w:p>
    <w:p w:rsidR="00C466F7" w:rsidRPr="00C466F7" w:rsidRDefault="00C466F7" w:rsidP="00C466F7">
      <w:pPr>
        <w:pStyle w:val="Standard"/>
        <w:tabs>
          <w:tab w:val="left" w:pos="993"/>
        </w:tabs>
        <w:ind w:left="1407"/>
        <w:jc w:val="both"/>
        <w:rPr>
          <w:rFonts w:ascii="Arial" w:hAnsi="Arial" w:cs="Arial"/>
          <w:sz w:val="24"/>
          <w:szCs w:val="24"/>
          <w:lang w:val="es-CL"/>
        </w:rPr>
      </w:pPr>
    </w:p>
    <w:p w:rsidR="00C466F7" w:rsidRPr="00C466F7" w:rsidRDefault="00C466F7" w:rsidP="00C466F7">
      <w:pPr>
        <w:pStyle w:val="Standard"/>
        <w:tabs>
          <w:tab w:val="left" w:pos="993"/>
        </w:tabs>
        <w:ind w:firstLine="567"/>
        <w:jc w:val="both"/>
        <w:rPr>
          <w:rFonts w:ascii="Arial" w:hAnsi="Arial" w:cs="Arial"/>
          <w:sz w:val="24"/>
          <w:szCs w:val="24"/>
          <w:lang w:val="es-CL"/>
        </w:rPr>
      </w:pPr>
      <w:r w:rsidRPr="00C466F7">
        <w:rPr>
          <w:rFonts w:ascii="Arial" w:hAnsi="Arial" w:cs="Arial"/>
          <w:sz w:val="24"/>
          <w:szCs w:val="24"/>
          <w:lang w:val="es-CL"/>
        </w:rPr>
        <w:t xml:space="preserve">2. EQUIPAMIENTO: Científico, comercio, culto y cultura correspondiente a canales de televisión y radioemisoras, deporte, educación, esparcimiento, salud, seguridad, servicios, social.  Cuando los servicios de carácter artesanal sean calificadas como “actividades productivas” no corresponderán a equipamiento de servicios, sin perjuicio de lo señalado en el art. 2.1.28. de la O.G.U.C.  </w:t>
      </w:r>
    </w:p>
    <w:p w:rsidR="00C466F7" w:rsidRPr="00C466F7" w:rsidRDefault="00C466F7" w:rsidP="00C466F7">
      <w:pPr>
        <w:pStyle w:val="Standard"/>
        <w:tabs>
          <w:tab w:val="left" w:pos="993"/>
        </w:tabs>
        <w:ind w:firstLine="567"/>
        <w:jc w:val="both"/>
        <w:rPr>
          <w:rFonts w:ascii="Arial" w:hAnsi="Arial" w:cs="Arial"/>
          <w:sz w:val="24"/>
          <w:szCs w:val="24"/>
          <w:lang w:val="es-CL"/>
        </w:rPr>
      </w:pPr>
    </w:p>
    <w:p w:rsidR="00C466F7" w:rsidRPr="00C466F7" w:rsidRDefault="00C466F7" w:rsidP="00C466F7">
      <w:pPr>
        <w:pStyle w:val="Standard"/>
        <w:tabs>
          <w:tab w:val="left" w:pos="993"/>
        </w:tabs>
        <w:ind w:firstLine="567"/>
        <w:jc w:val="both"/>
        <w:rPr>
          <w:rFonts w:ascii="Arial" w:hAnsi="Arial" w:cs="Arial"/>
          <w:sz w:val="24"/>
          <w:szCs w:val="24"/>
          <w:lang w:val="es-CL"/>
        </w:rPr>
      </w:pPr>
      <w:r w:rsidRPr="00C466F7">
        <w:rPr>
          <w:rFonts w:ascii="Arial" w:hAnsi="Arial" w:cs="Arial"/>
          <w:sz w:val="24"/>
          <w:szCs w:val="24"/>
          <w:lang w:val="es-CL"/>
        </w:rPr>
        <w:t xml:space="preserve">3. ACTIVIDADES PRODUCTIVAS: Almacenamiento y Actividades de Servicio de Impacto similar al Industrial calificados como inofensivos, industrias calificadas como inofensivas, talleres calificados como inofensivos, talleres o servicios artesanales calificados como inofensivos, vivienda del cuidador. Los “terminales de distribución” de cualquier tipo se considerarán para estos efectos como establecimientos de almacenamiento o bodegas. Todas estas actividades se autorizarán conforme al certificado de calificación que acredite su calidad de actividades productivas “INOFENSIVAS”. Este certificado es emitido por la Secretaría Regional Ministerial  de Salud de la Región Metropolitana, sin perjuicio de otras calificaciones o informes a ser emitidos por otros organismos competentes. Lo anterior conforme a lo señalado en el  capítulo 6.1 del P.R.M.S y en el capítulo 14, título 4 de la O.G.U.C.    </w:t>
      </w:r>
    </w:p>
    <w:p w:rsidR="00C466F7" w:rsidRPr="00C466F7" w:rsidRDefault="00C466F7" w:rsidP="00C466F7">
      <w:pPr>
        <w:pStyle w:val="Standard"/>
        <w:tabs>
          <w:tab w:val="left" w:pos="993"/>
        </w:tabs>
        <w:ind w:firstLine="567"/>
        <w:jc w:val="both"/>
        <w:rPr>
          <w:rFonts w:ascii="Arial" w:hAnsi="Arial" w:cs="Arial"/>
          <w:sz w:val="24"/>
          <w:szCs w:val="24"/>
          <w:lang w:val="es-CL"/>
        </w:rPr>
      </w:pPr>
    </w:p>
    <w:p w:rsidR="00C466F7" w:rsidRPr="00C466F7" w:rsidRDefault="00C466F7" w:rsidP="00C466F7">
      <w:pPr>
        <w:pStyle w:val="Standard"/>
        <w:tabs>
          <w:tab w:val="left" w:pos="993"/>
        </w:tabs>
        <w:ind w:firstLine="567"/>
        <w:jc w:val="both"/>
        <w:rPr>
          <w:rFonts w:ascii="Arial" w:hAnsi="Arial" w:cs="Arial"/>
          <w:sz w:val="24"/>
          <w:szCs w:val="24"/>
          <w:lang w:val="es-CL"/>
        </w:rPr>
      </w:pPr>
      <w:r w:rsidRPr="00C466F7">
        <w:rPr>
          <w:rFonts w:ascii="Arial" w:hAnsi="Arial" w:cs="Arial"/>
          <w:sz w:val="24"/>
          <w:szCs w:val="24"/>
          <w:lang w:val="es-CL"/>
        </w:rPr>
        <w:t xml:space="preserve">4.  INFRAESTRUCTURA: De transporte como estacionamientos, estación ferroviaria, instalaciones de telecomunicaciones y antenas de telefonía celular, rodoviarios y terminales de locomoción colectiva urbana, terminal de locomoción colectiva interurbana, terminales de taxis y radiotaxis, terminales de transporte terrestre. Sanitaria como canales de riego e Infraestructura energética como ductos de distribución de gas.     </w:t>
      </w:r>
    </w:p>
    <w:p w:rsidR="00C466F7" w:rsidRPr="00C466F7" w:rsidRDefault="00C466F7" w:rsidP="00C466F7">
      <w:pPr>
        <w:pStyle w:val="Standard"/>
        <w:tabs>
          <w:tab w:val="left" w:pos="993"/>
        </w:tabs>
        <w:ind w:firstLine="567"/>
        <w:jc w:val="both"/>
        <w:rPr>
          <w:rFonts w:ascii="Arial" w:hAnsi="Arial" w:cs="Arial"/>
          <w:sz w:val="24"/>
          <w:szCs w:val="24"/>
          <w:lang w:val="es-CL"/>
        </w:rPr>
      </w:pPr>
    </w:p>
    <w:p w:rsidR="00C466F7" w:rsidRPr="00C466F7" w:rsidRDefault="00C466F7" w:rsidP="00C466F7">
      <w:pPr>
        <w:pStyle w:val="Standard"/>
        <w:tabs>
          <w:tab w:val="left" w:pos="993"/>
        </w:tabs>
        <w:ind w:firstLine="567"/>
        <w:jc w:val="both"/>
        <w:rPr>
          <w:rFonts w:ascii="Arial" w:hAnsi="Arial" w:cs="Arial"/>
          <w:sz w:val="24"/>
          <w:szCs w:val="24"/>
          <w:lang w:val="es-CL"/>
        </w:rPr>
      </w:pPr>
      <w:r w:rsidRPr="00C466F7">
        <w:rPr>
          <w:rFonts w:ascii="Arial" w:hAnsi="Arial" w:cs="Arial"/>
          <w:sz w:val="24"/>
          <w:szCs w:val="24"/>
          <w:lang w:val="es-CL"/>
        </w:rPr>
        <w:t xml:space="preserve"> 5. ÁREAS VERDES: Bandejones y platabandas, parque, plaza, jardines.</w:t>
      </w:r>
    </w:p>
    <w:p w:rsidR="00C466F7" w:rsidRPr="00C466F7" w:rsidRDefault="00C466F7" w:rsidP="00C466F7">
      <w:pPr>
        <w:pStyle w:val="Standard"/>
        <w:tabs>
          <w:tab w:val="left" w:pos="993"/>
        </w:tabs>
        <w:ind w:firstLine="567"/>
        <w:jc w:val="both"/>
        <w:rPr>
          <w:rFonts w:ascii="Arial" w:hAnsi="Arial" w:cs="Arial"/>
          <w:color w:val="000000"/>
          <w:kern w:val="0"/>
          <w:lang w:val="es-CL"/>
        </w:rPr>
      </w:pPr>
    </w:p>
    <w:p w:rsidR="00C466F7" w:rsidRPr="00C466F7" w:rsidRDefault="00C466F7" w:rsidP="00C466F7">
      <w:pPr>
        <w:pStyle w:val="Standard"/>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 xml:space="preserve">USOS PROHIBIDOS </w:t>
      </w:r>
    </w:p>
    <w:p w:rsidR="00C466F7" w:rsidRPr="00C466F7" w:rsidRDefault="00C466F7" w:rsidP="00C466F7">
      <w:pPr>
        <w:pStyle w:val="Standard"/>
        <w:tabs>
          <w:tab w:val="left" w:pos="993"/>
        </w:tabs>
        <w:ind w:firstLine="567"/>
        <w:jc w:val="both"/>
        <w:rPr>
          <w:rFonts w:ascii="Arial" w:hAnsi="Arial" w:cs="Arial"/>
          <w:color w:val="000000"/>
          <w:kern w:val="0"/>
          <w:sz w:val="24"/>
          <w:szCs w:val="24"/>
          <w:lang w:val="es-CL"/>
        </w:rPr>
      </w:pP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Equipamiento de comercio correspondiente a centro comercial, grandes tiendas, mercados, multitiendas, supermercados.</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Equipamiento de culto y cultura exceptuando canales de televisión y radioemisoras.</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 xml:space="preserve">Equipamiento de deporte correspondiente a coliseos, estadios, gimnasio, medialuna, piscina, sauna y baño turco. </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 xml:space="preserve">Equipamiento de educación correspondiente a colegio, escuela básica, escuela prebásica, escuela especial, guardería infantil, instituto, instituto superior, jardín infantil, liceo, liceo comercial, parvulario, universidad. </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Equipamiento de esparcimiento correspondiente a hoteles y moteles.</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 xml:space="preserve">Equipamiento de salud correspondiente a casa de reposo, centro de diálisis, clínica de recuperación médica, clínica psiquiátrica, clínica veterinaria, consultorio, dispensario, hogar de ancianos, hospital.  </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Equipamiento de seguridad correspondiente a cárceles y centros de detención.</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Equipamiento de servicios correspondiente a centro de homeopatía, centro ortopédico, centro psicopedagógico, centro de medicina veterinaria, conservador de bienes raíces, corte de justicia, asociación de fondos de pensiones, juzgado.</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Establecimientos industriales peligrosos, insalubres o contaminantes y molestos.</w:t>
      </w:r>
    </w:p>
    <w:p w:rsidR="00C466F7" w:rsidRPr="00C466F7" w:rsidRDefault="00C466F7" w:rsidP="00C466F7">
      <w:pPr>
        <w:pStyle w:val="Standard"/>
        <w:numPr>
          <w:ilvl w:val="0"/>
          <w:numId w:val="30"/>
        </w:numPr>
        <w:tabs>
          <w:tab w:val="left" w:pos="993"/>
        </w:tabs>
        <w:jc w:val="both"/>
        <w:rPr>
          <w:rFonts w:ascii="Arial" w:hAnsi="Arial" w:cs="Arial"/>
          <w:color w:val="000000"/>
          <w:kern w:val="0"/>
          <w:sz w:val="24"/>
          <w:szCs w:val="24"/>
          <w:lang w:val="es-CL"/>
        </w:rPr>
      </w:pPr>
      <w:r w:rsidRPr="00C466F7">
        <w:rPr>
          <w:rFonts w:ascii="Arial" w:hAnsi="Arial" w:cs="Arial"/>
          <w:color w:val="000000"/>
          <w:kern w:val="0"/>
          <w:sz w:val="24"/>
          <w:szCs w:val="24"/>
          <w:lang w:val="es-CL"/>
        </w:rPr>
        <w:t>Infraestructura correspondiente a disposición transitoria o final de residuos sólidos, estación ferroviaria, estaciones y talleres del metro, plantas de tratamiento de aguas servidas.</w:t>
      </w:r>
    </w:p>
    <w:p w:rsidR="00C466F7" w:rsidRPr="00C466F7" w:rsidRDefault="00C466F7" w:rsidP="00C466F7">
      <w:pPr>
        <w:pStyle w:val="Standard"/>
        <w:tabs>
          <w:tab w:val="left" w:pos="993"/>
        </w:tabs>
        <w:ind w:firstLine="567"/>
        <w:jc w:val="both"/>
        <w:rPr>
          <w:rFonts w:ascii="Arial" w:hAnsi="Arial" w:cs="Arial"/>
          <w:sz w:val="24"/>
          <w:szCs w:val="24"/>
          <w:lang w:val="es-CL"/>
        </w:rPr>
      </w:pPr>
    </w:p>
    <w:p w:rsidR="00C466F7" w:rsidRPr="00C466F7" w:rsidRDefault="00C466F7" w:rsidP="00C466F7">
      <w:pPr>
        <w:pStyle w:val="Standard"/>
        <w:ind w:hanging="1"/>
        <w:jc w:val="both"/>
        <w:rPr>
          <w:rFonts w:ascii="Arial" w:hAnsi="Arial" w:cs="Arial"/>
          <w:sz w:val="24"/>
          <w:szCs w:val="24"/>
        </w:rPr>
      </w:pPr>
      <w:r w:rsidRPr="00C466F7">
        <w:rPr>
          <w:rFonts w:ascii="Arial" w:hAnsi="Arial" w:cs="Arial"/>
          <w:sz w:val="24"/>
          <w:szCs w:val="24"/>
        </w:rPr>
        <w:t>CUADRO DE NORMAS URBANÍSTICAS:</w:t>
      </w:r>
    </w:p>
    <w:p w:rsidR="00C466F7" w:rsidRPr="00C466F7" w:rsidRDefault="00C466F7" w:rsidP="00C466F7">
      <w:pPr>
        <w:pStyle w:val="Standard"/>
        <w:ind w:hanging="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866"/>
        <w:gridCol w:w="1456"/>
        <w:gridCol w:w="1050"/>
        <w:gridCol w:w="1281"/>
        <w:gridCol w:w="1509"/>
        <w:gridCol w:w="1007"/>
        <w:gridCol w:w="1234"/>
      </w:tblGrid>
      <w:tr w:rsidR="00C466F7" w:rsidRPr="00C466F7" w:rsidTr="00C466F7">
        <w:tc>
          <w:tcPr>
            <w:tcW w:w="9054" w:type="dxa"/>
            <w:gridSpan w:val="8"/>
          </w:tcPr>
          <w:p w:rsidR="00C466F7" w:rsidRPr="00C466F7" w:rsidRDefault="00C466F7" w:rsidP="00C466F7">
            <w:pPr>
              <w:pStyle w:val="Standard"/>
              <w:widowControl w:val="0"/>
              <w:jc w:val="both"/>
              <w:rPr>
                <w:rFonts w:ascii="Arial" w:hAnsi="Arial" w:cs="Arial"/>
                <w:spacing w:val="-3"/>
                <w:sz w:val="24"/>
                <w:szCs w:val="24"/>
                <w:lang w:val="es-CL"/>
              </w:rPr>
            </w:pPr>
            <w:r w:rsidRPr="00C466F7">
              <w:rPr>
                <w:rFonts w:ascii="Arial" w:hAnsi="Arial" w:cs="Arial"/>
                <w:spacing w:val="-3"/>
                <w:sz w:val="24"/>
                <w:szCs w:val="24"/>
                <w:lang w:val="es-CL"/>
              </w:rPr>
              <w:t>ZU-4</w:t>
            </w:r>
            <w:r w:rsidR="00176A3A">
              <w:rPr>
                <w:rFonts w:ascii="Arial" w:hAnsi="Arial" w:cs="Arial"/>
                <w:spacing w:val="-3"/>
                <w:sz w:val="24"/>
                <w:szCs w:val="24"/>
                <w:lang w:val="es-CL"/>
              </w:rPr>
              <w:t xml:space="preserve">’ </w:t>
            </w:r>
          </w:p>
        </w:tc>
      </w:tr>
      <w:tr w:rsidR="00C466F7" w:rsidRPr="00C466F7" w:rsidTr="00C466F7">
        <w:tc>
          <w:tcPr>
            <w:tcW w:w="1041"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Sup.predial m2 desde-hasta</w:t>
            </w:r>
          </w:p>
        </w:tc>
        <w:tc>
          <w:tcPr>
            <w:tcW w:w="787"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Altura max. n° pisos</w:t>
            </w:r>
          </w:p>
        </w:tc>
        <w:tc>
          <w:tcPr>
            <w:tcW w:w="142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Coeficiente de constructibilidad</w:t>
            </w:r>
          </w:p>
        </w:tc>
        <w:tc>
          <w:tcPr>
            <w:tcW w:w="100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Ocupación de suelo, coeficiente en primer piso</w:t>
            </w:r>
          </w:p>
        </w:tc>
        <w:tc>
          <w:tcPr>
            <w:tcW w:w="120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Sistema de agrupamiento</w:t>
            </w:r>
          </w:p>
        </w:tc>
        <w:tc>
          <w:tcPr>
            <w:tcW w:w="142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Rasantes y distanciamientos</w:t>
            </w:r>
          </w:p>
        </w:tc>
        <w:tc>
          <w:tcPr>
            <w:tcW w:w="98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Antejardín mínimo</w:t>
            </w:r>
          </w:p>
        </w:tc>
        <w:tc>
          <w:tcPr>
            <w:tcW w:w="1176"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Adosamiento %</w:t>
            </w:r>
          </w:p>
        </w:tc>
      </w:tr>
      <w:tr w:rsidR="00C466F7" w:rsidRPr="00C466F7" w:rsidTr="00C466F7">
        <w:tc>
          <w:tcPr>
            <w:tcW w:w="1041"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0-500</w:t>
            </w:r>
          </w:p>
        </w:tc>
        <w:tc>
          <w:tcPr>
            <w:tcW w:w="787"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Rasante</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1.5</w:t>
            </w:r>
          </w:p>
        </w:tc>
        <w:tc>
          <w:tcPr>
            <w:tcW w:w="10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0.70</w:t>
            </w:r>
          </w:p>
        </w:tc>
        <w:tc>
          <w:tcPr>
            <w:tcW w:w="12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A*</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O.G.U.C.</w:t>
            </w:r>
          </w:p>
        </w:tc>
        <w:tc>
          <w:tcPr>
            <w:tcW w:w="98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3m.</w:t>
            </w:r>
          </w:p>
        </w:tc>
        <w:tc>
          <w:tcPr>
            <w:tcW w:w="117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40</w:t>
            </w:r>
          </w:p>
        </w:tc>
      </w:tr>
      <w:tr w:rsidR="00C466F7" w:rsidRPr="00C466F7" w:rsidTr="00C466F7">
        <w:tc>
          <w:tcPr>
            <w:tcW w:w="1041"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501-1000</w:t>
            </w:r>
          </w:p>
        </w:tc>
        <w:tc>
          <w:tcPr>
            <w:tcW w:w="787"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Rasante</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2.0</w:t>
            </w:r>
          </w:p>
        </w:tc>
        <w:tc>
          <w:tcPr>
            <w:tcW w:w="10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0.60</w:t>
            </w:r>
          </w:p>
        </w:tc>
        <w:tc>
          <w:tcPr>
            <w:tcW w:w="12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A*</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O.G.U.C.</w:t>
            </w:r>
          </w:p>
        </w:tc>
        <w:tc>
          <w:tcPr>
            <w:tcW w:w="98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3m.</w:t>
            </w:r>
          </w:p>
        </w:tc>
        <w:tc>
          <w:tcPr>
            <w:tcW w:w="117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40</w:t>
            </w:r>
          </w:p>
        </w:tc>
      </w:tr>
      <w:tr w:rsidR="00C466F7" w:rsidRPr="00C466F7" w:rsidTr="00C466F7">
        <w:tc>
          <w:tcPr>
            <w:tcW w:w="1041" w:type="dxa"/>
          </w:tcPr>
          <w:p w:rsidR="00C466F7" w:rsidRPr="00C466F7" w:rsidRDefault="00C466F7" w:rsidP="00C466F7">
            <w:pPr>
              <w:pStyle w:val="Standard"/>
              <w:widowControl w:val="0"/>
              <w:jc w:val="both"/>
              <w:rPr>
                <w:rFonts w:ascii="Arial" w:hAnsi="Arial" w:cs="Arial"/>
                <w:spacing w:val="-3"/>
                <w:sz w:val="18"/>
                <w:szCs w:val="18"/>
                <w:lang w:val="es-CL"/>
              </w:rPr>
            </w:pPr>
            <w:r w:rsidRPr="00C466F7">
              <w:rPr>
                <w:rFonts w:ascii="Arial" w:hAnsi="Arial" w:cs="Arial"/>
                <w:spacing w:val="-3"/>
                <w:sz w:val="18"/>
                <w:szCs w:val="18"/>
                <w:lang w:val="es-CL"/>
              </w:rPr>
              <w:t>1001-MÁS</w:t>
            </w:r>
          </w:p>
        </w:tc>
        <w:tc>
          <w:tcPr>
            <w:tcW w:w="787"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Rasante</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2.5</w:t>
            </w:r>
          </w:p>
        </w:tc>
        <w:tc>
          <w:tcPr>
            <w:tcW w:w="10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0.50</w:t>
            </w:r>
          </w:p>
        </w:tc>
        <w:tc>
          <w:tcPr>
            <w:tcW w:w="120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A*</w:t>
            </w:r>
          </w:p>
        </w:tc>
        <w:tc>
          <w:tcPr>
            <w:tcW w:w="142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O.G.U.C.</w:t>
            </w:r>
          </w:p>
        </w:tc>
        <w:tc>
          <w:tcPr>
            <w:tcW w:w="98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3m.</w:t>
            </w:r>
          </w:p>
        </w:tc>
        <w:tc>
          <w:tcPr>
            <w:tcW w:w="1176" w:type="dxa"/>
          </w:tcPr>
          <w:p w:rsidR="00C466F7" w:rsidRPr="00C466F7" w:rsidRDefault="00C466F7" w:rsidP="00C466F7">
            <w:pPr>
              <w:pStyle w:val="Standard"/>
              <w:widowControl w:val="0"/>
              <w:jc w:val="center"/>
              <w:rPr>
                <w:rFonts w:ascii="Arial" w:hAnsi="Arial" w:cs="Arial"/>
                <w:spacing w:val="-3"/>
                <w:sz w:val="18"/>
                <w:szCs w:val="18"/>
                <w:lang w:val="es-CL"/>
              </w:rPr>
            </w:pPr>
            <w:r w:rsidRPr="00C466F7">
              <w:rPr>
                <w:rFonts w:ascii="Arial" w:hAnsi="Arial" w:cs="Arial"/>
                <w:spacing w:val="-3"/>
                <w:sz w:val="18"/>
                <w:szCs w:val="18"/>
                <w:lang w:val="es-CL"/>
              </w:rPr>
              <w:t>40</w:t>
            </w:r>
          </w:p>
        </w:tc>
      </w:tr>
    </w:tbl>
    <w:p w:rsidR="00C466F7" w:rsidRPr="00C466F7" w:rsidRDefault="00C466F7" w:rsidP="00C466F7">
      <w:pPr>
        <w:pStyle w:val="Standard"/>
        <w:ind w:hanging="1"/>
        <w:jc w:val="both"/>
        <w:rPr>
          <w:rFonts w:ascii="Arial" w:hAnsi="Arial" w:cs="Arial"/>
          <w:sz w:val="18"/>
          <w:szCs w:val="24"/>
          <w:lang w:val="es-CL"/>
        </w:rPr>
      </w:pPr>
      <w:r w:rsidRPr="00C466F7">
        <w:rPr>
          <w:rFonts w:ascii="Arial" w:hAnsi="Arial" w:cs="Arial"/>
          <w:sz w:val="18"/>
          <w:szCs w:val="24"/>
          <w:lang w:val="es-CL"/>
        </w:rPr>
        <w:t>(*)A: Aislado</w:t>
      </w:r>
    </w:p>
    <w:p w:rsidR="00C466F7" w:rsidRPr="00C466F7" w:rsidRDefault="00C466F7" w:rsidP="00C466F7">
      <w:pPr>
        <w:pStyle w:val="Standard"/>
        <w:tabs>
          <w:tab w:val="left" w:pos="993"/>
        </w:tabs>
        <w:ind w:firstLine="567"/>
        <w:jc w:val="both"/>
        <w:rPr>
          <w:rFonts w:ascii="Arial" w:hAnsi="Arial" w:cs="Arial"/>
          <w:sz w:val="24"/>
          <w:szCs w:val="24"/>
          <w:lang w:val="es-CL"/>
        </w:rPr>
      </w:pPr>
    </w:p>
    <w:p w:rsidR="00C466F7" w:rsidRPr="00C466F7" w:rsidRDefault="00C466F7" w:rsidP="00C466F7">
      <w:pPr>
        <w:pStyle w:val="Standard"/>
        <w:ind w:hanging="1"/>
        <w:jc w:val="both"/>
        <w:rPr>
          <w:rFonts w:ascii="Arial" w:hAnsi="Arial" w:cs="Arial"/>
          <w:sz w:val="24"/>
          <w:szCs w:val="24"/>
          <w:lang w:val="es-CL"/>
        </w:rPr>
      </w:pPr>
      <w:r w:rsidRPr="00C466F7">
        <w:rPr>
          <w:rFonts w:ascii="Arial" w:hAnsi="Arial" w:cs="Arial"/>
          <w:sz w:val="24"/>
          <w:szCs w:val="24"/>
          <w:lang w:val="es-CL"/>
        </w:rPr>
        <w:t>DISPOSICIONES COMPLEMENTARIAS:</w:t>
      </w:r>
    </w:p>
    <w:p w:rsidR="00C466F7" w:rsidRPr="00C466F7" w:rsidRDefault="00C466F7" w:rsidP="00C466F7">
      <w:pPr>
        <w:pStyle w:val="Standard"/>
        <w:numPr>
          <w:ilvl w:val="0"/>
          <w:numId w:val="33"/>
        </w:numPr>
        <w:tabs>
          <w:tab w:val="left" w:pos="993"/>
        </w:tabs>
        <w:jc w:val="both"/>
        <w:rPr>
          <w:rFonts w:ascii="Arial" w:hAnsi="Arial" w:cs="Arial"/>
          <w:sz w:val="24"/>
          <w:szCs w:val="24"/>
          <w:lang w:val="es-CL"/>
        </w:rPr>
      </w:pPr>
      <w:r w:rsidRPr="00C466F7">
        <w:rPr>
          <w:rFonts w:ascii="Arial" w:hAnsi="Arial" w:cs="Arial"/>
          <w:sz w:val="24"/>
          <w:szCs w:val="24"/>
          <w:lang w:val="es-CL"/>
        </w:rPr>
        <w:t xml:space="preserve">Densidad bruta mínima: 200 hab/Há. </w:t>
      </w:r>
    </w:p>
    <w:p w:rsidR="00C466F7" w:rsidRPr="00C466F7" w:rsidRDefault="00C466F7" w:rsidP="00C466F7">
      <w:pPr>
        <w:pStyle w:val="Standard"/>
        <w:numPr>
          <w:ilvl w:val="0"/>
          <w:numId w:val="33"/>
        </w:numPr>
        <w:tabs>
          <w:tab w:val="left" w:pos="993"/>
        </w:tabs>
        <w:jc w:val="both"/>
        <w:rPr>
          <w:rFonts w:ascii="Arial" w:hAnsi="Arial" w:cs="Arial"/>
          <w:sz w:val="24"/>
          <w:szCs w:val="24"/>
          <w:lang w:val="es-CL"/>
        </w:rPr>
      </w:pPr>
      <w:r w:rsidRPr="00C466F7">
        <w:rPr>
          <w:rFonts w:ascii="Arial" w:hAnsi="Arial" w:cs="Arial"/>
          <w:sz w:val="24"/>
          <w:szCs w:val="24"/>
          <w:lang w:val="es-CL"/>
        </w:rPr>
        <w:t xml:space="preserve">Densidad neta mínima: 250 hab/Há. </w:t>
      </w:r>
    </w:p>
    <w:p w:rsidR="00C466F7" w:rsidRPr="00E336F7" w:rsidRDefault="00C466F7" w:rsidP="00C466F7">
      <w:pPr>
        <w:pStyle w:val="Standard"/>
        <w:numPr>
          <w:ilvl w:val="0"/>
          <w:numId w:val="33"/>
        </w:numPr>
        <w:tabs>
          <w:tab w:val="left" w:pos="993"/>
        </w:tabs>
        <w:jc w:val="both"/>
        <w:rPr>
          <w:rFonts w:ascii="Arial" w:hAnsi="Arial" w:cs="Arial"/>
          <w:sz w:val="24"/>
          <w:szCs w:val="24"/>
          <w:lang w:val="es-CL"/>
        </w:rPr>
      </w:pPr>
      <w:r w:rsidRPr="00E336F7">
        <w:rPr>
          <w:rFonts w:ascii="Arial" w:hAnsi="Arial" w:cs="Arial"/>
          <w:sz w:val="24"/>
          <w:szCs w:val="24"/>
          <w:lang w:val="es-CL"/>
        </w:rPr>
        <w:t xml:space="preserve">Los terrenos para equipamiento de comercio y actividades productivas deberán disponer de un patio mínimo de 100 m2  para carga y descarga de camiones proveedores, y enfrentar calles de un ancho mínimo de 15 m o ancho de calzada de 6 metros. </w:t>
      </w:r>
    </w:p>
    <w:p w:rsidR="00C466F7" w:rsidRPr="00E336F7" w:rsidRDefault="00C466F7" w:rsidP="00C466F7">
      <w:pPr>
        <w:pStyle w:val="Standard"/>
        <w:numPr>
          <w:ilvl w:val="0"/>
          <w:numId w:val="33"/>
        </w:numPr>
        <w:tabs>
          <w:tab w:val="left" w:pos="993"/>
        </w:tabs>
        <w:jc w:val="both"/>
        <w:rPr>
          <w:rFonts w:ascii="Arial" w:hAnsi="Arial" w:cs="Arial"/>
          <w:sz w:val="24"/>
          <w:szCs w:val="24"/>
          <w:lang w:val="es-CL"/>
        </w:rPr>
      </w:pPr>
      <w:r w:rsidRPr="00E336F7">
        <w:rPr>
          <w:rFonts w:ascii="Arial" w:hAnsi="Arial" w:cs="Arial"/>
          <w:sz w:val="24"/>
          <w:szCs w:val="24"/>
          <w:lang w:val="es-CL"/>
        </w:rPr>
        <w:t xml:space="preserve">Los sitios en que se instale equipamiento tendrán una superficie predial mínima de 500 m2 y deberán enfrentar calles de un ancho mínimo de 15 m o ancho de calzada de 6 metros. </w:t>
      </w:r>
    </w:p>
    <w:p w:rsidR="00C466F7" w:rsidRPr="001D33A9" w:rsidRDefault="00C466F7" w:rsidP="00C466F7">
      <w:pPr>
        <w:pStyle w:val="Standard"/>
        <w:numPr>
          <w:ilvl w:val="0"/>
          <w:numId w:val="33"/>
        </w:numPr>
        <w:tabs>
          <w:tab w:val="left" w:pos="993"/>
        </w:tabs>
        <w:jc w:val="both"/>
        <w:rPr>
          <w:rFonts w:ascii="Arial" w:hAnsi="Arial" w:cs="Arial"/>
          <w:sz w:val="24"/>
          <w:szCs w:val="24"/>
          <w:lang w:val="es-CL"/>
        </w:rPr>
      </w:pPr>
      <w:r w:rsidRPr="001D33A9">
        <w:rPr>
          <w:rFonts w:ascii="Arial" w:hAnsi="Arial" w:cs="Arial"/>
          <w:sz w:val="24"/>
          <w:szCs w:val="24"/>
          <w:lang w:val="es-CL"/>
        </w:rPr>
        <w:t xml:space="preserve">Las guarderías de camiones o depósitos de vehículos sólo podrán instalarse en predios mayores a 1.000 m2 y frente a calles de 20 m o más de ancho. </w:t>
      </w:r>
    </w:p>
    <w:p w:rsidR="00C466F7" w:rsidRPr="001D33A9" w:rsidRDefault="00C466F7" w:rsidP="00C466F7">
      <w:pPr>
        <w:pStyle w:val="Standard"/>
        <w:numPr>
          <w:ilvl w:val="0"/>
          <w:numId w:val="33"/>
        </w:numPr>
        <w:tabs>
          <w:tab w:val="left" w:pos="993"/>
        </w:tabs>
        <w:jc w:val="both"/>
        <w:rPr>
          <w:rFonts w:ascii="Arial" w:hAnsi="Arial" w:cs="Arial"/>
          <w:sz w:val="24"/>
          <w:szCs w:val="24"/>
          <w:lang w:val="es-CL"/>
        </w:rPr>
      </w:pPr>
      <w:r w:rsidRPr="001D33A9">
        <w:rPr>
          <w:rFonts w:ascii="Arial" w:hAnsi="Arial" w:cs="Arial"/>
          <w:sz w:val="24"/>
          <w:szCs w:val="24"/>
          <w:lang w:val="es-CL"/>
        </w:rPr>
        <w:lastRenderedPageBreak/>
        <w:t xml:space="preserve">En cada predio de carácter industrial solo podrán consultarse viviendas para cuidadores. </w:t>
      </w:r>
    </w:p>
    <w:p w:rsidR="00C466F7" w:rsidRPr="00C466F7" w:rsidRDefault="00C466F7" w:rsidP="00C466F7">
      <w:pPr>
        <w:pStyle w:val="Standard"/>
        <w:numPr>
          <w:ilvl w:val="0"/>
          <w:numId w:val="33"/>
        </w:numPr>
        <w:tabs>
          <w:tab w:val="left" w:pos="993"/>
        </w:tabs>
        <w:jc w:val="both"/>
        <w:rPr>
          <w:rFonts w:ascii="Arial" w:hAnsi="Arial" w:cs="Arial"/>
          <w:sz w:val="24"/>
          <w:szCs w:val="24"/>
          <w:lang w:val="es-CL"/>
        </w:rPr>
      </w:pPr>
      <w:r w:rsidRPr="001D33A9">
        <w:rPr>
          <w:rFonts w:ascii="Arial" w:hAnsi="Arial" w:cs="Arial"/>
          <w:sz w:val="24"/>
          <w:szCs w:val="24"/>
          <w:lang w:val="es-CL"/>
        </w:rPr>
        <w:t>La Dirección de Obras Municipales solicitará a la Secretaría Regional</w:t>
      </w:r>
      <w:r w:rsidRPr="00C466F7">
        <w:rPr>
          <w:rFonts w:ascii="Arial" w:hAnsi="Arial" w:cs="Arial"/>
          <w:sz w:val="24"/>
          <w:szCs w:val="24"/>
          <w:lang w:val="es-CL"/>
        </w:rPr>
        <w:t xml:space="preserve"> Ministerial de Salud de la Región Metropolitana la fiscalización y seguimiento de los establecimientos industriales de acuerdo a Resolución 5081 del 12.03.93  de SESMA – MINSAL – Diario Oficial de 18 de marzo de 1993  y al Programa de Control de Emisiones de Fuentes Fijas en cuanto a residuos industriales sólidos y generación de contaminantes atmosféricos. </w:t>
      </w:r>
    </w:p>
    <w:p w:rsidR="00C466F7" w:rsidRPr="00C466F7" w:rsidRDefault="00C466F7" w:rsidP="00C466F7">
      <w:pPr>
        <w:pStyle w:val="Standard"/>
        <w:numPr>
          <w:ilvl w:val="0"/>
          <w:numId w:val="33"/>
        </w:numPr>
        <w:tabs>
          <w:tab w:val="left" w:pos="993"/>
        </w:tabs>
        <w:jc w:val="both"/>
        <w:rPr>
          <w:rFonts w:ascii="Arial" w:hAnsi="Arial" w:cs="Arial"/>
          <w:sz w:val="24"/>
          <w:szCs w:val="24"/>
          <w:lang w:val="es-CL"/>
        </w:rPr>
      </w:pPr>
      <w:r w:rsidRPr="00C466F7">
        <w:rPr>
          <w:rFonts w:ascii="Arial" w:hAnsi="Arial" w:cs="Arial"/>
          <w:sz w:val="24"/>
          <w:szCs w:val="24"/>
          <w:lang w:val="es-CL"/>
        </w:rPr>
        <w:t xml:space="preserve">Se aplicará,  cuando sea el caso, el inciso tercero del Art. 8º de la presente Ordenanza. </w:t>
      </w:r>
    </w:p>
    <w:p w:rsidR="00C466F7" w:rsidRPr="00C466F7" w:rsidRDefault="00C466F7" w:rsidP="00C466F7">
      <w:pPr>
        <w:pStyle w:val="Standard"/>
        <w:numPr>
          <w:ilvl w:val="0"/>
          <w:numId w:val="33"/>
        </w:numPr>
        <w:tabs>
          <w:tab w:val="left" w:pos="993"/>
        </w:tabs>
        <w:jc w:val="both"/>
        <w:rPr>
          <w:rFonts w:ascii="Arial" w:hAnsi="Arial" w:cs="Arial"/>
          <w:sz w:val="24"/>
          <w:szCs w:val="24"/>
          <w:lang w:val="es-CL"/>
        </w:rPr>
      </w:pPr>
      <w:r w:rsidRPr="00C466F7">
        <w:rPr>
          <w:rFonts w:ascii="Arial" w:hAnsi="Arial" w:cs="Arial"/>
          <w:sz w:val="24"/>
          <w:szCs w:val="24"/>
          <w:lang w:val="es-CL"/>
        </w:rPr>
        <w:t>En esta zona, se aplica la restricción de altura de edificación correspondiente a áreas de aproximación de aeródromo, indicada en el Art.26° de esta Ordenanza.</w:t>
      </w:r>
    </w:p>
    <w:p w:rsidR="005929DB" w:rsidRDefault="005929DB" w:rsidP="002E717C">
      <w:pPr>
        <w:rPr>
          <w:lang w:val="es-CL"/>
        </w:rPr>
      </w:pPr>
    </w:p>
    <w:p w:rsidR="002E717C" w:rsidRDefault="002E717C" w:rsidP="002E717C">
      <w:pPr>
        <w:pStyle w:val="Ttulo1"/>
        <w:rPr>
          <w:lang w:val="es-CL"/>
        </w:rPr>
      </w:pPr>
      <w:r>
        <w:rPr>
          <w:lang w:val="es-CL"/>
        </w:rPr>
        <w:t>analisis de factibilidad vial</w:t>
      </w:r>
    </w:p>
    <w:p w:rsidR="002E717C" w:rsidRDefault="002E717C" w:rsidP="002E717C">
      <w:pPr>
        <w:rPr>
          <w:lang w:val="es-CL"/>
        </w:rPr>
      </w:pPr>
    </w:p>
    <w:p w:rsidR="00147C75" w:rsidRDefault="00147C75" w:rsidP="002E717C">
      <w:pPr>
        <w:rPr>
          <w:lang w:val="es-CL"/>
        </w:rPr>
      </w:pPr>
      <w:r>
        <w:rPr>
          <w:lang w:val="es-CL"/>
        </w:rPr>
        <w:t>El análisis de factibilidad vial se realiza tomando como punto de partida el Estudio de Capacidad Vial aprobado junto con el PRC vigente. Luego, lo que interesa demostrar es que la modificación propuesta no incide en las conclusiones del referido estudio. Para ello, se estiman los viajes generados por la modificación y se evalúa como estos inciden en las vías estructurantes cercanas a la modificación.</w:t>
      </w:r>
    </w:p>
    <w:p w:rsidR="00147C75" w:rsidRDefault="00147C75" w:rsidP="002E717C">
      <w:pPr>
        <w:rPr>
          <w:lang w:val="es-CL"/>
        </w:rPr>
      </w:pPr>
    </w:p>
    <w:p w:rsidR="00506FDA" w:rsidRDefault="00506FDA" w:rsidP="00506FDA">
      <w:pPr>
        <w:pStyle w:val="Ttulo2"/>
        <w:rPr>
          <w:lang w:val="es-CL"/>
        </w:rPr>
      </w:pPr>
      <w:r>
        <w:rPr>
          <w:lang w:val="es-CL"/>
        </w:rPr>
        <w:t>Zonificación ECV</w:t>
      </w:r>
    </w:p>
    <w:p w:rsidR="00506FDA" w:rsidRDefault="00506FDA" w:rsidP="00506FDA">
      <w:pPr>
        <w:rPr>
          <w:lang w:val="es-CL"/>
        </w:rPr>
      </w:pPr>
    </w:p>
    <w:p w:rsidR="00506FDA" w:rsidRDefault="00506FDA" w:rsidP="00506FDA">
      <w:pPr>
        <w:rPr>
          <w:lang w:val="es-CL"/>
        </w:rPr>
      </w:pPr>
      <w:r>
        <w:rPr>
          <w:lang w:val="es-CL"/>
        </w:rPr>
        <w:t xml:space="preserve">La zonificación utilizada en el ECV del PRC vigente corresponde a la misma utilizada en ESTRAUS y se aprecia en la figura siguiente. En la figura se observa que la zona a la que pertenece el área afecta a la modificación es la 279, cuya cantidad de viajes generados es de </w:t>
      </w:r>
      <w:r w:rsidR="00FC3394">
        <w:rPr>
          <w:lang w:val="es-CL"/>
        </w:rPr>
        <w:t>6950 viajes en el periodo de la punta mañana.</w:t>
      </w:r>
    </w:p>
    <w:p w:rsidR="00506FDA" w:rsidRDefault="00506FDA" w:rsidP="00506FDA">
      <w:pPr>
        <w:rPr>
          <w:lang w:val="es-CL"/>
        </w:rPr>
      </w:pPr>
    </w:p>
    <w:p w:rsidR="00506FDA" w:rsidRDefault="00986EDB" w:rsidP="00506FDA">
      <w:pPr>
        <w:pStyle w:val="Titulofigura"/>
        <w:rPr>
          <w:lang w:val="es-CL"/>
        </w:rPr>
      </w:pPr>
      <w:r>
        <w:rPr>
          <w:lang w:val="es-CL"/>
        </w:rPr>
        <w:br w:type="page"/>
      </w:r>
      <w:r w:rsidR="00506FDA">
        <w:rPr>
          <w:lang w:val="es-CL"/>
        </w:rPr>
        <w:lastRenderedPageBreak/>
        <w:t>Zonificación ECV</w:t>
      </w:r>
    </w:p>
    <w:p w:rsidR="00506FDA" w:rsidRDefault="00EB4D83" w:rsidP="00506FDA">
      <w:pPr>
        <w:pStyle w:val="Titulofigura"/>
        <w:numPr>
          <w:ilvl w:val="0"/>
          <w:numId w:val="0"/>
        </w:numPr>
        <w:ind w:left="360" w:hanging="360"/>
        <w:rPr>
          <w:lang w:val="es-CL"/>
        </w:rPr>
      </w:pPr>
      <w:r>
        <w:rPr>
          <w:noProof/>
          <w:lang w:val="es-ES"/>
        </w:rPr>
        <w:drawing>
          <wp:inline distT="0" distB="0" distL="0" distR="0">
            <wp:extent cx="2352675" cy="26574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52675" cy="2657475"/>
                    </a:xfrm>
                    <a:prstGeom prst="rect">
                      <a:avLst/>
                    </a:prstGeom>
                    <a:noFill/>
                    <a:ln w="9525">
                      <a:noFill/>
                      <a:miter lim="800000"/>
                      <a:headEnd/>
                      <a:tailEnd/>
                    </a:ln>
                  </pic:spPr>
                </pic:pic>
              </a:graphicData>
            </a:graphic>
          </wp:inline>
        </w:drawing>
      </w:r>
    </w:p>
    <w:p w:rsidR="00506FDA" w:rsidRPr="00506FDA" w:rsidRDefault="00506FDA" w:rsidP="00506FDA">
      <w:pPr>
        <w:pStyle w:val="Titulofigura"/>
        <w:numPr>
          <w:ilvl w:val="0"/>
          <w:numId w:val="0"/>
        </w:numPr>
        <w:ind w:left="360" w:hanging="360"/>
        <w:rPr>
          <w:lang w:val="es-CL"/>
        </w:rPr>
      </w:pPr>
    </w:p>
    <w:p w:rsidR="00506FDA" w:rsidRDefault="00FC3394" w:rsidP="00FC3394">
      <w:pPr>
        <w:pStyle w:val="Ttulo2"/>
        <w:rPr>
          <w:lang w:val="es-CL"/>
        </w:rPr>
      </w:pPr>
      <w:r>
        <w:rPr>
          <w:lang w:val="es-CL"/>
        </w:rPr>
        <w:t>Asignación de flujos en vías pertenecientes al área de influencia de la modificación.</w:t>
      </w:r>
    </w:p>
    <w:p w:rsidR="00FC3394" w:rsidRDefault="00FC3394" w:rsidP="00FC3394">
      <w:pPr>
        <w:rPr>
          <w:lang w:val="es-CL"/>
        </w:rPr>
      </w:pPr>
    </w:p>
    <w:p w:rsidR="00FC3394" w:rsidRDefault="00FC3394" w:rsidP="00FC3394">
      <w:pPr>
        <w:rPr>
          <w:lang w:val="es-CL"/>
        </w:rPr>
      </w:pPr>
      <w:r>
        <w:rPr>
          <w:lang w:val="es-CL"/>
        </w:rPr>
        <w:t xml:space="preserve">Las vías estructurantes de la comuna pertenecientes al área de influencia directa de la modificación corresponden a </w:t>
      </w:r>
      <w:r w:rsidR="008F5CA4">
        <w:rPr>
          <w:lang w:val="es-CL"/>
        </w:rPr>
        <w:t>Chiloe, San Francisco, Salesianos y Ureta Cox</w:t>
      </w:r>
      <w:r>
        <w:rPr>
          <w:lang w:val="es-CL"/>
        </w:rPr>
        <w:t xml:space="preserve"> (ver figura siguiente)</w:t>
      </w:r>
      <w:r w:rsidR="008F5CA4">
        <w:rPr>
          <w:lang w:val="es-CL"/>
        </w:rPr>
        <w:t>.</w:t>
      </w:r>
    </w:p>
    <w:p w:rsidR="00FC3394" w:rsidRDefault="00FC3394" w:rsidP="00FC3394">
      <w:pPr>
        <w:rPr>
          <w:lang w:val="es-CL"/>
        </w:rPr>
      </w:pPr>
    </w:p>
    <w:p w:rsidR="00FC3394" w:rsidRDefault="00FC3394" w:rsidP="00FC3394">
      <w:pPr>
        <w:pStyle w:val="Titulofigura"/>
        <w:rPr>
          <w:lang w:val="es-CL"/>
        </w:rPr>
      </w:pPr>
      <w:r>
        <w:rPr>
          <w:lang w:val="es-CL"/>
        </w:rPr>
        <w:t>Vías del área de influencia</w:t>
      </w:r>
    </w:p>
    <w:p w:rsidR="00FC3394" w:rsidRDefault="00EB4D83" w:rsidP="00FC3394">
      <w:pPr>
        <w:pStyle w:val="Titulofigura"/>
        <w:numPr>
          <w:ilvl w:val="0"/>
          <w:numId w:val="0"/>
        </w:numPr>
        <w:ind w:left="360" w:hanging="360"/>
        <w:rPr>
          <w:lang w:val="es-CL"/>
        </w:rPr>
      </w:pPr>
      <w:r>
        <w:rPr>
          <w:noProof/>
          <w:lang w:val="es-ES"/>
        </w:rPr>
        <w:drawing>
          <wp:inline distT="0" distB="0" distL="0" distR="0">
            <wp:extent cx="2466975" cy="20574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4590" t="19389" r="34167" b="23186"/>
                    <a:stretch>
                      <a:fillRect/>
                    </a:stretch>
                  </pic:blipFill>
                  <pic:spPr bwMode="auto">
                    <a:xfrm>
                      <a:off x="0" y="0"/>
                      <a:ext cx="2466975" cy="2057400"/>
                    </a:xfrm>
                    <a:prstGeom prst="rect">
                      <a:avLst/>
                    </a:prstGeom>
                    <a:noFill/>
                    <a:ln w="6350" cmpd="sng">
                      <a:solidFill>
                        <a:srgbClr val="000000"/>
                      </a:solidFill>
                      <a:miter lim="800000"/>
                      <a:headEnd/>
                      <a:tailEnd/>
                    </a:ln>
                    <a:effectLst/>
                  </pic:spPr>
                </pic:pic>
              </a:graphicData>
            </a:graphic>
          </wp:inline>
        </w:drawing>
      </w:r>
    </w:p>
    <w:p w:rsidR="00FC3394" w:rsidRDefault="00FC3394" w:rsidP="00FC3394">
      <w:pPr>
        <w:pStyle w:val="Titulofigura"/>
        <w:numPr>
          <w:ilvl w:val="0"/>
          <w:numId w:val="0"/>
        </w:numPr>
        <w:ind w:left="360" w:hanging="360"/>
        <w:rPr>
          <w:lang w:val="es-CL"/>
        </w:rPr>
      </w:pPr>
    </w:p>
    <w:p w:rsidR="00FC3394" w:rsidRDefault="00FC3394" w:rsidP="00FC3394">
      <w:pPr>
        <w:rPr>
          <w:lang w:val="es-CL"/>
        </w:rPr>
      </w:pPr>
      <w:r>
        <w:rPr>
          <w:lang w:val="es-CL"/>
        </w:rPr>
        <w:t>En el cuadro siguiente se indica para cada una de ellas los anchos de faja establecidos en el PRC vigente, su asignación de flujo y grado de saturación.</w:t>
      </w:r>
    </w:p>
    <w:p w:rsidR="00B26028" w:rsidRDefault="00B26028" w:rsidP="00FC3394">
      <w:pPr>
        <w:rPr>
          <w:lang w:val="es-CL"/>
        </w:rPr>
      </w:pPr>
    </w:p>
    <w:p w:rsidR="00FC3394" w:rsidRDefault="00986EDB" w:rsidP="00B26028">
      <w:pPr>
        <w:pStyle w:val="Titulocuadro"/>
        <w:rPr>
          <w:lang w:val="es-CL"/>
        </w:rPr>
      </w:pPr>
      <w:r>
        <w:rPr>
          <w:lang w:val="es-CL"/>
        </w:rPr>
        <w:br w:type="page"/>
      </w:r>
      <w:r w:rsidR="00B26028">
        <w:rPr>
          <w:lang w:val="es-CL"/>
        </w:rPr>
        <w:lastRenderedPageBreak/>
        <w:t>Indicadores de operación vías relevantes</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698"/>
        <w:gridCol w:w="3047"/>
        <w:gridCol w:w="2110"/>
        <w:gridCol w:w="2110"/>
      </w:tblGrid>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Vía</w:t>
            </w:r>
          </w:p>
        </w:tc>
        <w:tc>
          <w:tcPr>
            <w:tcW w:w="698" w:type="dxa"/>
          </w:tcPr>
          <w:p w:rsidR="00EB5305" w:rsidRPr="009C7DD6" w:rsidRDefault="00EB5305" w:rsidP="00B26028">
            <w:pPr>
              <w:pStyle w:val="Cuadro"/>
              <w:rPr>
                <w:lang w:val="es-CL"/>
              </w:rPr>
            </w:pPr>
            <w:r w:rsidRPr="009C7DD6">
              <w:rPr>
                <w:lang w:val="es-CL"/>
              </w:rPr>
              <w:t>Faja</w:t>
            </w:r>
          </w:p>
          <w:p w:rsidR="00EB5305" w:rsidRPr="009C7DD6" w:rsidRDefault="00EB5305" w:rsidP="009C7DD6">
            <w:pPr>
              <w:pStyle w:val="Cuadro"/>
              <w:rPr>
                <w:lang w:val="es-CL"/>
              </w:rPr>
            </w:pPr>
            <w:r w:rsidRPr="009C7DD6">
              <w:rPr>
                <w:lang w:val="es-CL"/>
              </w:rPr>
              <w:t>(m.)</w:t>
            </w:r>
          </w:p>
        </w:tc>
        <w:tc>
          <w:tcPr>
            <w:tcW w:w="3047" w:type="dxa"/>
          </w:tcPr>
          <w:p w:rsidR="00EB5305" w:rsidRPr="009C7DD6" w:rsidRDefault="00EB5305" w:rsidP="009C7DD6">
            <w:pPr>
              <w:pStyle w:val="Cuadro"/>
              <w:rPr>
                <w:lang w:val="es-CL"/>
              </w:rPr>
            </w:pPr>
            <w:r w:rsidRPr="009C7DD6">
              <w:rPr>
                <w:lang w:val="es-CL"/>
              </w:rPr>
              <w:t>Flujo asignado ambos sentidos</w:t>
            </w:r>
          </w:p>
          <w:p w:rsidR="00EB5305" w:rsidRPr="009C7DD6" w:rsidRDefault="00EB5305" w:rsidP="009C7DD6">
            <w:pPr>
              <w:pStyle w:val="Cuadro"/>
              <w:rPr>
                <w:lang w:val="es-CL"/>
              </w:rPr>
            </w:pPr>
            <w:r w:rsidRPr="009C7DD6">
              <w:rPr>
                <w:lang w:val="es-CL"/>
              </w:rPr>
              <w:t xml:space="preserve"> (veq/hr)</w:t>
            </w:r>
          </w:p>
        </w:tc>
        <w:tc>
          <w:tcPr>
            <w:tcW w:w="2110" w:type="dxa"/>
          </w:tcPr>
          <w:p w:rsidR="00EB5305" w:rsidRPr="009C7DD6" w:rsidRDefault="00EB5305" w:rsidP="00E231FD">
            <w:pPr>
              <w:pStyle w:val="Cuadro"/>
              <w:rPr>
                <w:lang w:val="es-CL"/>
              </w:rPr>
            </w:pPr>
            <w:r w:rsidRPr="009C7DD6">
              <w:rPr>
                <w:lang w:val="es-CL"/>
              </w:rPr>
              <w:t>Grado de Saturación</w:t>
            </w:r>
          </w:p>
          <w:p w:rsidR="00EB5305" w:rsidRPr="009C7DD6" w:rsidRDefault="00EB5305" w:rsidP="00E231FD">
            <w:pPr>
              <w:pStyle w:val="Cuadro"/>
              <w:rPr>
                <w:lang w:val="es-CL"/>
              </w:rPr>
            </w:pPr>
            <w:r w:rsidRPr="009C7DD6">
              <w:rPr>
                <w:lang w:val="es-CL"/>
              </w:rPr>
              <w:t>%</w:t>
            </w:r>
          </w:p>
        </w:tc>
        <w:tc>
          <w:tcPr>
            <w:tcW w:w="2110" w:type="dxa"/>
          </w:tcPr>
          <w:p w:rsidR="00EB5305" w:rsidRPr="009C7DD6" w:rsidRDefault="00EB5305" w:rsidP="009C7DD6">
            <w:pPr>
              <w:pStyle w:val="Cuadro"/>
              <w:rPr>
                <w:lang w:val="es-CL"/>
              </w:rPr>
            </w:pPr>
            <w:r>
              <w:rPr>
                <w:lang w:val="es-CL"/>
              </w:rPr>
              <w:t>Capacidad de reserva</w:t>
            </w:r>
          </w:p>
          <w:p w:rsidR="00EB5305" w:rsidRPr="009C7DD6" w:rsidRDefault="00EB5305" w:rsidP="00EB5305">
            <w:pPr>
              <w:pStyle w:val="Cuadro"/>
              <w:rPr>
                <w:lang w:val="es-CL"/>
              </w:rPr>
            </w:pPr>
            <w:r>
              <w:rPr>
                <w:lang w:val="es-CL"/>
              </w:rPr>
              <w:t>veq/hr</w:t>
            </w:r>
          </w:p>
        </w:tc>
      </w:tr>
      <w:tr w:rsidR="00670C5C" w:rsidRPr="009C7DD6" w:rsidTr="00EB5305">
        <w:trPr>
          <w:jc w:val="center"/>
        </w:trPr>
        <w:tc>
          <w:tcPr>
            <w:tcW w:w="1856" w:type="dxa"/>
          </w:tcPr>
          <w:p w:rsidR="00670C5C" w:rsidRPr="009C7DD6" w:rsidRDefault="00670C5C" w:rsidP="009C7DD6">
            <w:pPr>
              <w:pStyle w:val="Cuadro"/>
              <w:rPr>
                <w:lang w:val="es-CL"/>
              </w:rPr>
            </w:pPr>
            <w:r>
              <w:rPr>
                <w:lang w:val="es-CL"/>
              </w:rPr>
              <w:t>Chiloe</w:t>
            </w:r>
          </w:p>
        </w:tc>
        <w:tc>
          <w:tcPr>
            <w:tcW w:w="698" w:type="dxa"/>
          </w:tcPr>
          <w:p w:rsidR="00670C5C" w:rsidRPr="009C7DD6" w:rsidRDefault="00670C5C" w:rsidP="009E70FC">
            <w:pPr>
              <w:pStyle w:val="Cuadro"/>
              <w:rPr>
                <w:lang w:val="es-CL"/>
              </w:rPr>
            </w:pPr>
            <w:r>
              <w:rPr>
                <w:lang w:val="es-CL"/>
              </w:rPr>
              <w:t>15</w:t>
            </w:r>
          </w:p>
        </w:tc>
        <w:tc>
          <w:tcPr>
            <w:tcW w:w="3047" w:type="dxa"/>
          </w:tcPr>
          <w:p w:rsidR="00670C5C" w:rsidRPr="009C7DD6" w:rsidRDefault="00670C5C" w:rsidP="009E70FC">
            <w:pPr>
              <w:pStyle w:val="Cuadro"/>
              <w:rPr>
                <w:lang w:val="es-CL"/>
              </w:rPr>
            </w:pPr>
            <w:r>
              <w:rPr>
                <w:lang w:val="es-CL"/>
              </w:rPr>
              <w:t>915</w:t>
            </w:r>
          </w:p>
        </w:tc>
        <w:tc>
          <w:tcPr>
            <w:tcW w:w="2110" w:type="dxa"/>
          </w:tcPr>
          <w:p w:rsidR="00670C5C" w:rsidRDefault="00670C5C">
            <w:pPr>
              <w:jc w:val="center"/>
              <w:rPr>
                <w:rFonts w:cs="Arial"/>
                <w:sz w:val="20"/>
              </w:rPr>
            </w:pPr>
            <w:r>
              <w:rPr>
                <w:rFonts w:cs="Arial"/>
                <w:sz w:val="20"/>
              </w:rPr>
              <w:t>51%</w:t>
            </w:r>
          </w:p>
        </w:tc>
        <w:tc>
          <w:tcPr>
            <w:tcW w:w="2110" w:type="dxa"/>
          </w:tcPr>
          <w:p w:rsidR="00670C5C" w:rsidRDefault="00670C5C">
            <w:pPr>
              <w:jc w:val="center"/>
              <w:rPr>
                <w:rFonts w:cs="Arial"/>
                <w:sz w:val="20"/>
              </w:rPr>
            </w:pPr>
            <w:r>
              <w:rPr>
                <w:rFonts w:cs="Arial"/>
                <w:sz w:val="20"/>
                <w:lang w:val="es-CL"/>
              </w:rPr>
              <w:t>705</w:t>
            </w:r>
          </w:p>
        </w:tc>
      </w:tr>
      <w:tr w:rsidR="00670C5C" w:rsidRPr="009C7DD6" w:rsidTr="00EB5305">
        <w:trPr>
          <w:jc w:val="center"/>
        </w:trPr>
        <w:tc>
          <w:tcPr>
            <w:tcW w:w="1856" w:type="dxa"/>
          </w:tcPr>
          <w:p w:rsidR="00670C5C" w:rsidRPr="009C7DD6" w:rsidRDefault="00670C5C" w:rsidP="008F5CA4">
            <w:pPr>
              <w:pStyle w:val="Cuadro"/>
              <w:rPr>
                <w:lang w:val="es-CL"/>
              </w:rPr>
            </w:pPr>
            <w:r w:rsidRPr="009C7DD6">
              <w:rPr>
                <w:lang w:val="es-CL"/>
              </w:rPr>
              <w:t>San</w:t>
            </w:r>
            <w:r>
              <w:rPr>
                <w:lang w:val="es-CL"/>
              </w:rPr>
              <w:t xml:space="preserve"> Francisco</w:t>
            </w:r>
          </w:p>
        </w:tc>
        <w:tc>
          <w:tcPr>
            <w:tcW w:w="698" w:type="dxa"/>
          </w:tcPr>
          <w:p w:rsidR="00670C5C" w:rsidRPr="009C7DD6" w:rsidRDefault="00670C5C" w:rsidP="009C7DD6">
            <w:pPr>
              <w:pStyle w:val="Cuadro"/>
              <w:rPr>
                <w:lang w:val="es-CL"/>
              </w:rPr>
            </w:pPr>
            <w:r>
              <w:rPr>
                <w:lang w:val="es-CL"/>
              </w:rPr>
              <w:t>15</w:t>
            </w:r>
          </w:p>
        </w:tc>
        <w:tc>
          <w:tcPr>
            <w:tcW w:w="3047" w:type="dxa"/>
          </w:tcPr>
          <w:p w:rsidR="00670C5C" w:rsidRPr="009C7DD6" w:rsidRDefault="00670C5C" w:rsidP="009E70FC">
            <w:pPr>
              <w:pStyle w:val="Cuadro"/>
              <w:rPr>
                <w:lang w:val="es-CL"/>
              </w:rPr>
            </w:pPr>
            <w:r w:rsidRPr="009C7DD6">
              <w:rPr>
                <w:lang w:val="es-CL"/>
              </w:rPr>
              <w:t>1</w:t>
            </w:r>
            <w:r>
              <w:rPr>
                <w:lang w:val="es-CL"/>
              </w:rPr>
              <w:t>598</w:t>
            </w:r>
          </w:p>
        </w:tc>
        <w:tc>
          <w:tcPr>
            <w:tcW w:w="2110" w:type="dxa"/>
          </w:tcPr>
          <w:p w:rsidR="00670C5C" w:rsidRDefault="00670C5C">
            <w:pPr>
              <w:jc w:val="center"/>
              <w:rPr>
                <w:rFonts w:cs="Arial"/>
                <w:sz w:val="20"/>
              </w:rPr>
            </w:pPr>
            <w:r>
              <w:rPr>
                <w:rFonts w:cs="Arial"/>
                <w:sz w:val="20"/>
              </w:rPr>
              <w:t>89%</w:t>
            </w:r>
          </w:p>
        </w:tc>
        <w:tc>
          <w:tcPr>
            <w:tcW w:w="2110" w:type="dxa"/>
          </w:tcPr>
          <w:p w:rsidR="00670C5C" w:rsidRDefault="00670C5C">
            <w:pPr>
              <w:jc w:val="center"/>
              <w:rPr>
                <w:rFonts w:cs="Arial"/>
                <w:sz w:val="20"/>
              </w:rPr>
            </w:pPr>
            <w:r>
              <w:rPr>
                <w:rFonts w:cs="Arial"/>
                <w:sz w:val="20"/>
                <w:lang w:val="es-CL"/>
              </w:rPr>
              <w:t>22</w:t>
            </w:r>
          </w:p>
        </w:tc>
      </w:tr>
      <w:tr w:rsidR="00670C5C" w:rsidRPr="009C7DD6" w:rsidTr="00EB5305">
        <w:trPr>
          <w:jc w:val="center"/>
        </w:trPr>
        <w:tc>
          <w:tcPr>
            <w:tcW w:w="1856" w:type="dxa"/>
          </w:tcPr>
          <w:p w:rsidR="00670C5C" w:rsidRPr="009C7DD6" w:rsidRDefault="00670C5C" w:rsidP="008F5CA4">
            <w:pPr>
              <w:pStyle w:val="Cuadro"/>
              <w:rPr>
                <w:lang w:val="es-CL"/>
              </w:rPr>
            </w:pPr>
            <w:r w:rsidRPr="009C7DD6">
              <w:rPr>
                <w:lang w:val="es-CL"/>
              </w:rPr>
              <w:t>S</w:t>
            </w:r>
            <w:r>
              <w:rPr>
                <w:lang w:val="es-CL"/>
              </w:rPr>
              <w:t>alesianos</w:t>
            </w:r>
          </w:p>
        </w:tc>
        <w:tc>
          <w:tcPr>
            <w:tcW w:w="698" w:type="dxa"/>
          </w:tcPr>
          <w:p w:rsidR="00670C5C" w:rsidRPr="009C7DD6" w:rsidRDefault="00670C5C" w:rsidP="009C7DD6">
            <w:pPr>
              <w:pStyle w:val="Cuadro"/>
              <w:rPr>
                <w:lang w:val="es-CL"/>
              </w:rPr>
            </w:pPr>
            <w:r>
              <w:rPr>
                <w:lang w:val="es-CL"/>
              </w:rPr>
              <w:t>24</w:t>
            </w:r>
          </w:p>
        </w:tc>
        <w:tc>
          <w:tcPr>
            <w:tcW w:w="3047" w:type="dxa"/>
          </w:tcPr>
          <w:p w:rsidR="00670C5C" w:rsidRPr="009C7DD6" w:rsidRDefault="00670C5C" w:rsidP="009E70FC">
            <w:pPr>
              <w:pStyle w:val="Cuadro"/>
              <w:rPr>
                <w:lang w:val="es-CL"/>
              </w:rPr>
            </w:pPr>
            <w:r>
              <w:rPr>
                <w:lang w:val="es-CL"/>
              </w:rPr>
              <w:t>530</w:t>
            </w:r>
          </w:p>
        </w:tc>
        <w:tc>
          <w:tcPr>
            <w:tcW w:w="2110" w:type="dxa"/>
          </w:tcPr>
          <w:p w:rsidR="00670C5C" w:rsidRDefault="00670C5C">
            <w:pPr>
              <w:jc w:val="center"/>
              <w:rPr>
                <w:rFonts w:cs="Arial"/>
                <w:sz w:val="20"/>
              </w:rPr>
            </w:pPr>
            <w:r>
              <w:rPr>
                <w:rFonts w:cs="Arial"/>
                <w:sz w:val="20"/>
              </w:rPr>
              <w:t>15%</w:t>
            </w:r>
          </w:p>
        </w:tc>
        <w:tc>
          <w:tcPr>
            <w:tcW w:w="2110" w:type="dxa"/>
          </w:tcPr>
          <w:p w:rsidR="00670C5C" w:rsidRDefault="00670C5C">
            <w:pPr>
              <w:jc w:val="center"/>
              <w:rPr>
                <w:rFonts w:cs="Arial"/>
                <w:sz w:val="20"/>
              </w:rPr>
            </w:pPr>
            <w:r>
              <w:rPr>
                <w:rFonts w:cs="Arial"/>
                <w:sz w:val="20"/>
              </w:rPr>
              <w:t>2710</w:t>
            </w:r>
          </w:p>
        </w:tc>
      </w:tr>
      <w:tr w:rsidR="00670C5C" w:rsidRPr="009C7DD6" w:rsidTr="00EB5305">
        <w:trPr>
          <w:jc w:val="center"/>
        </w:trPr>
        <w:tc>
          <w:tcPr>
            <w:tcW w:w="1856" w:type="dxa"/>
          </w:tcPr>
          <w:p w:rsidR="00670C5C" w:rsidRPr="009C7DD6" w:rsidRDefault="00670C5C" w:rsidP="008F5CA4">
            <w:pPr>
              <w:pStyle w:val="Cuadro"/>
              <w:rPr>
                <w:lang w:val="es-CL"/>
              </w:rPr>
            </w:pPr>
            <w:r>
              <w:rPr>
                <w:lang w:val="es-CL"/>
              </w:rPr>
              <w:t>Ureta Cox</w:t>
            </w:r>
          </w:p>
        </w:tc>
        <w:tc>
          <w:tcPr>
            <w:tcW w:w="698" w:type="dxa"/>
          </w:tcPr>
          <w:p w:rsidR="00670C5C" w:rsidRPr="009C7DD6" w:rsidRDefault="00670C5C" w:rsidP="009C7DD6">
            <w:pPr>
              <w:pStyle w:val="Cuadro"/>
              <w:rPr>
                <w:lang w:val="es-CL"/>
              </w:rPr>
            </w:pPr>
            <w:r w:rsidRPr="009C7DD6">
              <w:rPr>
                <w:lang w:val="es-CL"/>
              </w:rPr>
              <w:t>15</w:t>
            </w:r>
          </w:p>
        </w:tc>
        <w:tc>
          <w:tcPr>
            <w:tcW w:w="3047" w:type="dxa"/>
          </w:tcPr>
          <w:p w:rsidR="00670C5C" w:rsidRPr="009C7DD6" w:rsidRDefault="00670C5C" w:rsidP="009C7DD6">
            <w:pPr>
              <w:pStyle w:val="Cuadro"/>
              <w:rPr>
                <w:lang w:val="es-CL"/>
              </w:rPr>
            </w:pPr>
            <w:r>
              <w:rPr>
                <w:lang w:val="es-CL"/>
              </w:rPr>
              <w:t>633</w:t>
            </w:r>
          </w:p>
        </w:tc>
        <w:tc>
          <w:tcPr>
            <w:tcW w:w="2110" w:type="dxa"/>
          </w:tcPr>
          <w:p w:rsidR="00670C5C" w:rsidRDefault="00670C5C">
            <w:pPr>
              <w:jc w:val="center"/>
              <w:rPr>
                <w:rFonts w:cs="Arial"/>
                <w:sz w:val="20"/>
              </w:rPr>
            </w:pPr>
            <w:r>
              <w:rPr>
                <w:rFonts w:cs="Arial"/>
                <w:sz w:val="20"/>
              </w:rPr>
              <w:t>35%</w:t>
            </w:r>
          </w:p>
        </w:tc>
        <w:tc>
          <w:tcPr>
            <w:tcW w:w="2110" w:type="dxa"/>
          </w:tcPr>
          <w:p w:rsidR="00670C5C" w:rsidRDefault="00670C5C">
            <w:pPr>
              <w:jc w:val="center"/>
              <w:rPr>
                <w:rFonts w:cs="Arial"/>
                <w:sz w:val="20"/>
              </w:rPr>
            </w:pPr>
            <w:r>
              <w:rPr>
                <w:rFonts w:cs="Arial"/>
                <w:sz w:val="20"/>
              </w:rPr>
              <w:t>987</w:t>
            </w:r>
          </w:p>
        </w:tc>
      </w:tr>
    </w:tbl>
    <w:p w:rsidR="00FC3394" w:rsidRPr="00B26028" w:rsidRDefault="00B26028" w:rsidP="00B26028">
      <w:pPr>
        <w:jc w:val="center"/>
        <w:rPr>
          <w:sz w:val="20"/>
          <w:lang w:val="es-CL"/>
        </w:rPr>
      </w:pPr>
      <w:r w:rsidRPr="00B26028">
        <w:rPr>
          <w:sz w:val="20"/>
          <w:lang w:val="es-CL"/>
        </w:rPr>
        <w:t xml:space="preserve">Fuente: </w:t>
      </w:r>
      <w:r w:rsidR="00EB5305">
        <w:rPr>
          <w:sz w:val="20"/>
          <w:lang w:val="es-CL"/>
        </w:rPr>
        <w:t xml:space="preserve">Elaboración propia en base a </w:t>
      </w:r>
      <w:r w:rsidRPr="00B26028">
        <w:rPr>
          <w:sz w:val="20"/>
          <w:lang w:val="es-CL"/>
        </w:rPr>
        <w:t>ECV del PRC vigente</w:t>
      </w:r>
    </w:p>
    <w:p w:rsidR="00506FDA" w:rsidRPr="00506FDA" w:rsidRDefault="00506FDA" w:rsidP="00506FDA">
      <w:pPr>
        <w:rPr>
          <w:lang w:val="es-CL"/>
        </w:rPr>
      </w:pPr>
    </w:p>
    <w:p w:rsidR="002E717C" w:rsidRDefault="00147C75" w:rsidP="00147C75">
      <w:pPr>
        <w:pStyle w:val="Ttulo2"/>
      </w:pPr>
      <w:r>
        <w:t>Estimación de viajes generados por la modificación</w:t>
      </w:r>
    </w:p>
    <w:p w:rsidR="00147C75" w:rsidRDefault="00147C75" w:rsidP="00147C75"/>
    <w:p w:rsidR="00A17C48" w:rsidRDefault="00A17C48" w:rsidP="00147C75">
      <w:r>
        <w:t>Considerando que la modificación propuesta disminuye la densidad de habitantes por hectárea</w:t>
      </w:r>
      <w:r w:rsidR="00B56AF1">
        <w:t xml:space="preserve"> los viajes generados en la zona modificada disminuirán y por lo tanto las asignaciones sobre las vías estructurantes disminuirán.</w:t>
      </w:r>
    </w:p>
    <w:p w:rsidR="00B56AF1" w:rsidRDefault="00B56AF1" w:rsidP="00147C75"/>
    <w:p w:rsidR="002077BC" w:rsidRDefault="002077BC" w:rsidP="00147C75">
      <w:r>
        <w:t>En función de lo anterior, se puede afirmar que la modificación propuesta es factible desde el punto de vista de la operación de transporte.</w:t>
      </w:r>
    </w:p>
    <w:sectPr w:rsidR="002077BC" w:rsidSect="00122089">
      <w:headerReference w:type="default" r:id="rId10"/>
      <w:footerReference w:type="default" r:id="rId11"/>
      <w:type w:val="continuous"/>
      <w:pgSz w:w="12242" w:h="15842" w:code="1"/>
      <w:pgMar w:top="1701" w:right="1418" w:bottom="1418" w:left="1418" w:header="851"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EA6" w:rsidRDefault="00525EA6">
      <w:r>
        <w:separator/>
      </w:r>
    </w:p>
  </w:endnote>
  <w:endnote w:type="continuationSeparator" w:id="0">
    <w:p w:rsidR="00525EA6" w:rsidRDefault="00525E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B1" w:rsidRDefault="00EA55B1" w:rsidP="002225A5">
    <w:pPr>
      <w:pStyle w:val="Piedepgina"/>
      <w:pBdr>
        <w:top w:val="single" w:sz="4" w:space="3" w:color="auto"/>
      </w:pBdr>
      <w:tabs>
        <w:tab w:val="clear" w:pos="9072"/>
        <w:tab w:val="right" w:pos="9356"/>
      </w:tabs>
      <w:jc w:val="left"/>
      <w:rPr>
        <w:lang w:val="es-MX"/>
      </w:rPr>
    </w:pPr>
    <w:r>
      <w:rPr>
        <w:lang w:val="es-MX"/>
      </w:rPr>
      <w:t>Suroeste Consultores Limitada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EA6" w:rsidRDefault="00525EA6">
      <w:r>
        <w:separator/>
      </w:r>
    </w:p>
  </w:footnote>
  <w:footnote w:type="continuationSeparator" w:id="0">
    <w:p w:rsidR="00525EA6" w:rsidRDefault="00525E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F6" w:rsidRDefault="000B3E99">
    <w:pPr>
      <w:pStyle w:val="Encabezado"/>
      <w:tabs>
        <w:tab w:val="clear" w:pos="9072"/>
        <w:tab w:val="right" w:pos="9356"/>
      </w:tabs>
      <w:rPr>
        <w:lang w:val="es-MX"/>
      </w:rPr>
    </w:pPr>
    <w:r>
      <w:rPr>
        <w:lang w:val="es-MX"/>
      </w:rPr>
      <w:t xml:space="preserve">Estudio Capacidad Vial Modificación Plan Regulador San Miguel, Sector </w:t>
    </w:r>
    <w:r w:rsidR="00CC1026">
      <w:rPr>
        <w:lang w:val="es-MX"/>
      </w:rPr>
      <w:t>Industrial</w:t>
    </w:r>
    <w:r w:rsidR="00B67BF6">
      <w:rPr>
        <w:lang w:val="es-MX"/>
      </w:rPr>
      <w:tab/>
    </w:r>
    <w:r w:rsidR="00625D55" w:rsidRPr="00652949">
      <w:rPr>
        <w:lang w:val="es-MX"/>
      </w:rPr>
      <w:fldChar w:fldCharType="begin"/>
    </w:r>
    <w:r w:rsidR="00B67BF6" w:rsidRPr="00652949">
      <w:rPr>
        <w:lang w:val="es-MX"/>
      </w:rPr>
      <w:instrText xml:space="preserve"> PAGE   \* MERGEFORMAT </w:instrText>
    </w:r>
    <w:r w:rsidR="00625D55" w:rsidRPr="00652949">
      <w:rPr>
        <w:lang w:val="es-MX"/>
      </w:rPr>
      <w:fldChar w:fldCharType="separate"/>
    </w:r>
    <w:r w:rsidR="00605E36">
      <w:rPr>
        <w:noProof/>
        <w:lang w:val="es-MX"/>
      </w:rPr>
      <w:t>1</w:t>
    </w:r>
    <w:r w:rsidR="00625D55" w:rsidRPr="00652949">
      <w:rPr>
        <w:lang w:val="es-MX"/>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C06"/>
    <w:multiLevelType w:val="hybridMultilevel"/>
    <w:tmpl w:val="95F6A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60801"/>
    <w:multiLevelType w:val="hybridMultilevel"/>
    <w:tmpl w:val="63E0F0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3A67D14"/>
    <w:multiLevelType w:val="hybridMultilevel"/>
    <w:tmpl w:val="5CCA3F3C"/>
    <w:lvl w:ilvl="0" w:tplc="B9903AC8">
      <w:start w:val="7"/>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nsid w:val="18994DD2"/>
    <w:multiLevelType w:val="multilevel"/>
    <w:tmpl w:val="86225390"/>
    <w:lvl w:ilvl="0">
      <w:start w:val="1"/>
      <w:numFmt w:val="decimal"/>
      <w:pStyle w:val="Ttulo1"/>
      <w:lvlText w:val="%1."/>
      <w:lvlJc w:val="left"/>
      <w:pPr>
        <w:ind w:left="360" w:hanging="360"/>
      </w:pPr>
      <w:rPr>
        <w:rFonts w:hint="default"/>
        <w:b/>
        <w:i w:val="0"/>
        <w:sz w:val="28"/>
      </w:rPr>
    </w:lvl>
    <w:lvl w:ilvl="1">
      <w:start w:val="1"/>
      <w:numFmt w:val="decimal"/>
      <w:pStyle w:val="Ttulo2"/>
      <w:lvlText w:val="%1.%2"/>
      <w:lvlJc w:val="left"/>
      <w:pPr>
        <w:tabs>
          <w:tab w:val="num" w:pos="851"/>
        </w:tabs>
        <w:ind w:left="624" w:hanging="624"/>
      </w:pPr>
      <w:rPr>
        <w:rFonts w:hint="default"/>
      </w:rPr>
    </w:lvl>
    <w:lvl w:ilvl="2">
      <w:start w:val="1"/>
      <w:numFmt w:val="decimal"/>
      <w:pStyle w:val="Ttulo3"/>
      <w:lvlText w:val="%1.%2.%3"/>
      <w:lvlJc w:val="left"/>
      <w:pPr>
        <w:tabs>
          <w:tab w:val="num" w:pos="851"/>
        </w:tabs>
        <w:ind w:left="624" w:hanging="624"/>
      </w:pPr>
      <w:rPr>
        <w:rFonts w:hint="default"/>
      </w:rPr>
    </w:lvl>
    <w:lvl w:ilvl="3">
      <w:start w:val="1"/>
      <w:numFmt w:val="decimal"/>
      <w:pStyle w:val="Ttulo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4">
    <w:nsid w:val="18EE268F"/>
    <w:multiLevelType w:val="multilevel"/>
    <w:tmpl w:val="5F664F28"/>
    <w:lvl w:ilvl="0">
      <w:start w:val="1"/>
      <w:numFmt w:val="decimal"/>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B674074"/>
    <w:multiLevelType w:val="hybridMultilevel"/>
    <w:tmpl w:val="BD70E8D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F9F1F25"/>
    <w:multiLevelType w:val="hybridMultilevel"/>
    <w:tmpl w:val="E6FA9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17038B"/>
    <w:multiLevelType w:val="hybridMultilevel"/>
    <w:tmpl w:val="246E0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40A35DF2"/>
    <w:multiLevelType w:val="hybridMultilevel"/>
    <w:tmpl w:val="ABDA6B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477F109D"/>
    <w:multiLevelType w:val="hybridMultilevel"/>
    <w:tmpl w:val="02AE44E4"/>
    <w:lvl w:ilvl="0" w:tplc="B9903AC8">
      <w:start w:val="7"/>
      <w:numFmt w:val="bullet"/>
      <w:lvlText w:val="-"/>
      <w:lvlJc w:val="left"/>
      <w:pPr>
        <w:ind w:left="927"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DE28FB"/>
    <w:multiLevelType w:val="hybridMultilevel"/>
    <w:tmpl w:val="BB8C77FA"/>
    <w:lvl w:ilvl="0" w:tplc="080A0001">
      <w:start w:val="1"/>
      <w:numFmt w:val="bullet"/>
      <w:lvlText w:val=""/>
      <w:lvlJc w:val="left"/>
      <w:pPr>
        <w:ind w:left="720" w:hanging="360"/>
      </w:pPr>
      <w:rPr>
        <w:rFonts w:ascii="Symbol" w:hAnsi="Symbol" w:hint="default"/>
      </w:rPr>
    </w:lvl>
    <w:lvl w:ilvl="1" w:tplc="BA38793E">
      <w:numFmt w:val="bullet"/>
      <w:lvlText w:val="•"/>
      <w:lvlJc w:val="left"/>
      <w:pPr>
        <w:ind w:left="1440" w:hanging="360"/>
      </w:pPr>
      <w:rPr>
        <w:rFonts w:ascii="Arial" w:eastAsia="Times New Roman" w:hAnsi="Aria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DD117EF"/>
    <w:multiLevelType w:val="hybridMultilevel"/>
    <w:tmpl w:val="8A66D152"/>
    <w:lvl w:ilvl="0" w:tplc="F1A6039A">
      <w:start w:val="4"/>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3">
    <w:nsid w:val="553D47D7"/>
    <w:multiLevelType w:val="multilevel"/>
    <w:tmpl w:val="8470540C"/>
    <w:lvl w:ilvl="0">
      <w:start w:val="1"/>
      <w:numFmt w:val="decimal"/>
      <w:suff w:val="space"/>
      <w:lvlText w:val="Foto Nº 1-%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562E63A8"/>
    <w:multiLevelType w:val="multilevel"/>
    <w:tmpl w:val="1A326900"/>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851"/>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15">
    <w:nsid w:val="58ED414E"/>
    <w:multiLevelType w:val="hybridMultilevel"/>
    <w:tmpl w:val="F886F4B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5C672991"/>
    <w:multiLevelType w:val="singleLevel"/>
    <w:tmpl w:val="5F664F28"/>
    <w:lvl w:ilvl="0">
      <w:start w:val="1"/>
      <w:numFmt w:val="decimal"/>
      <w:pStyle w:val="Titulocuadro"/>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abstractNum>
  <w:abstractNum w:abstractNumId="17">
    <w:nsid w:val="5EC61A1C"/>
    <w:multiLevelType w:val="hybridMultilevel"/>
    <w:tmpl w:val="D9AC4F26"/>
    <w:lvl w:ilvl="0" w:tplc="B9903AC8">
      <w:start w:val="7"/>
      <w:numFmt w:val="bullet"/>
      <w:lvlText w:val="-"/>
      <w:lvlJc w:val="left"/>
      <w:pPr>
        <w:ind w:left="719" w:hanging="360"/>
      </w:pPr>
      <w:rPr>
        <w:rFonts w:ascii="Times New Roman" w:eastAsia="Times New Roman" w:hAnsi="Times New Roman" w:cs="Times New Roman" w:hint="default"/>
      </w:rPr>
    </w:lvl>
    <w:lvl w:ilvl="1" w:tplc="340A0003" w:tentative="1">
      <w:start w:val="1"/>
      <w:numFmt w:val="bullet"/>
      <w:lvlText w:val="o"/>
      <w:lvlJc w:val="left"/>
      <w:pPr>
        <w:ind w:left="1439" w:hanging="360"/>
      </w:pPr>
      <w:rPr>
        <w:rFonts w:ascii="Courier New" w:hAnsi="Courier New" w:cs="Courier New" w:hint="default"/>
      </w:rPr>
    </w:lvl>
    <w:lvl w:ilvl="2" w:tplc="340A0005" w:tentative="1">
      <w:start w:val="1"/>
      <w:numFmt w:val="bullet"/>
      <w:lvlText w:val=""/>
      <w:lvlJc w:val="left"/>
      <w:pPr>
        <w:ind w:left="2159" w:hanging="360"/>
      </w:pPr>
      <w:rPr>
        <w:rFonts w:ascii="Wingdings" w:hAnsi="Wingdings" w:hint="default"/>
      </w:rPr>
    </w:lvl>
    <w:lvl w:ilvl="3" w:tplc="340A0001" w:tentative="1">
      <w:start w:val="1"/>
      <w:numFmt w:val="bullet"/>
      <w:lvlText w:val=""/>
      <w:lvlJc w:val="left"/>
      <w:pPr>
        <w:ind w:left="2879" w:hanging="360"/>
      </w:pPr>
      <w:rPr>
        <w:rFonts w:ascii="Symbol" w:hAnsi="Symbol" w:hint="default"/>
      </w:rPr>
    </w:lvl>
    <w:lvl w:ilvl="4" w:tplc="340A0003" w:tentative="1">
      <w:start w:val="1"/>
      <w:numFmt w:val="bullet"/>
      <w:lvlText w:val="o"/>
      <w:lvlJc w:val="left"/>
      <w:pPr>
        <w:ind w:left="3599" w:hanging="360"/>
      </w:pPr>
      <w:rPr>
        <w:rFonts w:ascii="Courier New" w:hAnsi="Courier New" w:cs="Courier New" w:hint="default"/>
      </w:rPr>
    </w:lvl>
    <w:lvl w:ilvl="5" w:tplc="340A0005" w:tentative="1">
      <w:start w:val="1"/>
      <w:numFmt w:val="bullet"/>
      <w:lvlText w:val=""/>
      <w:lvlJc w:val="left"/>
      <w:pPr>
        <w:ind w:left="4319" w:hanging="360"/>
      </w:pPr>
      <w:rPr>
        <w:rFonts w:ascii="Wingdings" w:hAnsi="Wingdings" w:hint="default"/>
      </w:rPr>
    </w:lvl>
    <w:lvl w:ilvl="6" w:tplc="340A0001" w:tentative="1">
      <w:start w:val="1"/>
      <w:numFmt w:val="bullet"/>
      <w:lvlText w:val=""/>
      <w:lvlJc w:val="left"/>
      <w:pPr>
        <w:ind w:left="5039" w:hanging="360"/>
      </w:pPr>
      <w:rPr>
        <w:rFonts w:ascii="Symbol" w:hAnsi="Symbol" w:hint="default"/>
      </w:rPr>
    </w:lvl>
    <w:lvl w:ilvl="7" w:tplc="340A0003" w:tentative="1">
      <w:start w:val="1"/>
      <w:numFmt w:val="bullet"/>
      <w:lvlText w:val="o"/>
      <w:lvlJc w:val="left"/>
      <w:pPr>
        <w:ind w:left="5759" w:hanging="360"/>
      </w:pPr>
      <w:rPr>
        <w:rFonts w:ascii="Courier New" w:hAnsi="Courier New" w:cs="Courier New" w:hint="default"/>
      </w:rPr>
    </w:lvl>
    <w:lvl w:ilvl="8" w:tplc="340A0005" w:tentative="1">
      <w:start w:val="1"/>
      <w:numFmt w:val="bullet"/>
      <w:lvlText w:val=""/>
      <w:lvlJc w:val="left"/>
      <w:pPr>
        <w:ind w:left="6479" w:hanging="360"/>
      </w:pPr>
      <w:rPr>
        <w:rFonts w:ascii="Wingdings" w:hAnsi="Wingdings" w:hint="default"/>
      </w:rPr>
    </w:lvl>
  </w:abstractNum>
  <w:abstractNum w:abstractNumId="18">
    <w:nsid w:val="60C523F1"/>
    <w:multiLevelType w:val="multilevel"/>
    <w:tmpl w:val="0C0A001D"/>
    <w:styleLink w:val="Estilo4"/>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20D6652"/>
    <w:multiLevelType w:val="hybridMultilevel"/>
    <w:tmpl w:val="3A5C33BC"/>
    <w:lvl w:ilvl="0" w:tplc="B9903AC8">
      <w:start w:val="7"/>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581" w:hanging="360"/>
      </w:pPr>
      <w:rPr>
        <w:rFonts w:ascii="Courier New" w:hAnsi="Courier New" w:cs="Courier New" w:hint="default"/>
      </w:rPr>
    </w:lvl>
    <w:lvl w:ilvl="2" w:tplc="080A0005" w:tentative="1">
      <w:start w:val="1"/>
      <w:numFmt w:val="bullet"/>
      <w:lvlText w:val=""/>
      <w:lvlJc w:val="left"/>
      <w:pPr>
        <w:ind w:left="2301" w:hanging="360"/>
      </w:pPr>
      <w:rPr>
        <w:rFonts w:ascii="Wingdings" w:hAnsi="Wingdings" w:hint="default"/>
      </w:rPr>
    </w:lvl>
    <w:lvl w:ilvl="3" w:tplc="080A0001" w:tentative="1">
      <w:start w:val="1"/>
      <w:numFmt w:val="bullet"/>
      <w:lvlText w:val=""/>
      <w:lvlJc w:val="left"/>
      <w:pPr>
        <w:ind w:left="3021" w:hanging="360"/>
      </w:pPr>
      <w:rPr>
        <w:rFonts w:ascii="Symbol" w:hAnsi="Symbol" w:hint="default"/>
      </w:rPr>
    </w:lvl>
    <w:lvl w:ilvl="4" w:tplc="080A0003" w:tentative="1">
      <w:start w:val="1"/>
      <w:numFmt w:val="bullet"/>
      <w:lvlText w:val="o"/>
      <w:lvlJc w:val="left"/>
      <w:pPr>
        <w:ind w:left="3741" w:hanging="360"/>
      </w:pPr>
      <w:rPr>
        <w:rFonts w:ascii="Courier New" w:hAnsi="Courier New" w:cs="Courier New" w:hint="default"/>
      </w:rPr>
    </w:lvl>
    <w:lvl w:ilvl="5" w:tplc="080A0005" w:tentative="1">
      <w:start w:val="1"/>
      <w:numFmt w:val="bullet"/>
      <w:lvlText w:val=""/>
      <w:lvlJc w:val="left"/>
      <w:pPr>
        <w:ind w:left="4461" w:hanging="360"/>
      </w:pPr>
      <w:rPr>
        <w:rFonts w:ascii="Wingdings" w:hAnsi="Wingdings" w:hint="default"/>
      </w:rPr>
    </w:lvl>
    <w:lvl w:ilvl="6" w:tplc="080A0001" w:tentative="1">
      <w:start w:val="1"/>
      <w:numFmt w:val="bullet"/>
      <w:lvlText w:val=""/>
      <w:lvlJc w:val="left"/>
      <w:pPr>
        <w:ind w:left="5181" w:hanging="360"/>
      </w:pPr>
      <w:rPr>
        <w:rFonts w:ascii="Symbol" w:hAnsi="Symbol" w:hint="default"/>
      </w:rPr>
    </w:lvl>
    <w:lvl w:ilvl="7" w:tplc="080A0003" w:tentative="1">
      <w:start w:val="1"/>
      <w:numFmt w:val="bullet"/>
      <w:lvlText w:val="o"/>
      <w:lvlJc w:val="left"/>
      <w:pPr>
        <w:ind w:left="5901" w:hanging="360"/>
      </w:pPr>
      <w:rPr>
        <w:rFonts w:ascii="Courier New" w:hAnsi="Courier New" w:cs="Courier New" w:hint="default"/>
      </w:rPr>
    </w:lvl>
    <w:lvl w:ilvl="8" w:tplc="080A0005" w:tentative="1">
      <w:start w:val="1"/>
      <w:numFmt w:val="bullet"/>
      <w:lvlText w:val=""/>
      <w:lvlJc w:val="left"/>
      <w:pPr>
        <w:ind w:left="6621" w:hanging="360"/>
      </w:pPr>
      <w:rPr>
        <w:rFonts w:ascii="Wingdings" w:hAnsi="Wingdings" w:hint="default"/>
      </w:rPr>
    </w:lvl>
  </w:abstractNum>
  <w:abstractNum w:abstractNumId="20">
    <w:nsid w:val="6A6572E2"/>
    <w:multiLevelType w:val="multilevel"/>
    <w:tmpl w:val="244A7BBA"/>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624"/>
        </w:tabs>
        <w:ind w:left="624" w:hanging="624"/>
      </w:pPr>
    </w:lvl>
    <w:lvl w:ilvl="2">
      <w:start w:val="1"/>
      <w:numFmt w:val="decimal"/>
      <w:lvlText w:val="%1.%2.%3"/>
      <w:lvlJc w:val="left"/>
      <w:pPr>
        <w:tabs>
          <w:tab w:val="num" w:pos="624"/>
        </w:tabs>
        <w:ind w:left="624" w:hanging="624"/>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021" w:hanging="1021"/>
      </w:pPr>
    </w:lvl>
    <w:lvl w:ilvl="8">
      <w:start w:val="1"/>
      <w:numFmt w:val="decimal"/>
      <w:lvlText w:val="%1.%2.%3.%4.%5.%6.%7.%8.%9"/>
      <w:lvlJc w:val="left"/>
      <w:pPr>
        <w:tabs>
          <w:tab w:val="num" w:pos="1800"/>
        </w:tabs>
        <w:ind w:left="1584" w:hanging="1584"/>
      </w:pPr>
    </w:lvl>
  </w:abstractNum>
  <w:abstractNum w:abstractNumId="21">
    <w:nsid w:val="70802AB0"/>
    <w:multiLevelType w:val="hybridMultilevel"/>
    <w:tmpl w:val="C1B23F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3041F26"/>
    <w:multiLevelType w:val="hybridMultilevel"/>
    <w:tmpl w:val="720A8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1D77F7"/>
    <w:multiLevelType w:val="multilevel"/>
    <w:tmpl w:val="F5B84F7A"/>
    <w:lvl w:ilvl="0">
      <w:start w:val="1"/>
      <w:numFmt w:val="decimal"/>
      <w:pStyle w:val="TituloFoto"/>
      <w:suff w:val="space"/>
      <w:lvlText w:val="Foto Nº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754A727F"/>
    <w:multiLevelType w:val="hybridMultilevel"/>
    <w:tmpl w:val="2F901FDC"/>
    <w:lvl w:ilvl="0" w:tplc="080A0001">
      <w:start w:val="1"/>
      <w:numFmt w:val="bullet"/>
      <w:lvlText w:val=""/>
      <w:lvlJc w:val="left"/>
      <w:pPr>
        <w:ind w:left="720" w:hanging="360"/>
      </w:pPr>
      <w:rPr>
        <w:rFonts w:ascii="Symbol" w:hAnsi="Symbol" w:hint="default"/>
      </w:rPr>
    </w:lvl>
    <w:lvl w:ilvl="1" w:tplc="BA38793E">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0A7BB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9D10A2D"/>
    <w:multiLevelType w:val="hybridMultilevel"/>
    <w:tmpl w:val="0E5671C2"/>
    <w:lvl w:ilvl="0" w:tplc="B9903AC8">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CA81880"/>
    <w:multiLevelType w:val="singleLevel"/>
    <w:tmpl w:val="BB460FFA"/>
    <w:lvl w:ilvl="0">
      <w:start w:val="1"/>
      <w:numFmt w:val="decimal"/>
      <w:pStyle w:val="Titulofigura"/>
      <w:lvlText w:val="Figura Nº1- %1:"/>
      <w:lvlJc w:val="left"/>
      <w:pPr>
        <w:ind w:left="360" w:hanging="360"/>
      </w:pPr>
      <w:rPr>
        <w:rFonts w:hint="default"/>
        <w:caps w:val="0"/>
        <w:strike w:val="0"/>
        <w:dstrike w:val="0"/>
        <w:outline w:val="0"/>
        <w:shadow w:val="0"/>
        <w:emboss w:val="0"/>
        <w:imprint w:val="0"/>
        <w:vanish w:val="0"/>
        <w:sz w:val="24"/>
        <w:vertAlign w:val="baseline"/>
      </w:rPr>
    </w:lvl>
  </w:abstractNum>
  <w:abstractNum w:abstractNumId="28">
    <w:nsid w:val="7FC45C78"/>
    <w:multiLevelType w:val="hybridMultilevel"/>
    <w:tmpl w:val="AB30D3EC"/>
    <w:lvl w:ilvl="0" w:tplc="6122D32A">
      <w:start w:val="1"/>
      <w:numFmt w:val="decimal"/>
      <w:lvlText w:val="%1."/>
      <w:lvlJc w:val="left"/>
      <w:pPr>
        <w:ind w:left="1407" w:hanging="84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num w:numId="1">
    <w:abstractNumId w:val="3"/>
  </w:num>
  <w:num w:numId="2">
    <w:abstractNumId w:val="3"/>
  </w:num>
  <w:num w:numId="3">
    <w:abstractNumId w:val="3"/>
  </w:num>
  <w:num w:numId="4">
    <w:abstractNumId w:val="3"/>
  </w:num>
  <w:num w:numId="5">
    <w:abstractNumId w:val="16"/>
  </w:num>
  <w:num w:numId="6">
    <w:abstractNumId w:val="27"/>
  </w:num>
  <w:num w:numId="7">
    <w:abstractNumId w:val="13"/>
  </w:num>
  <w:num w:numId="8">
    <w:abstractNumId w:val="23"/>
  </w:num>
  <w:num w:numId="9">
    <w:abstractNumId w:val="20"/>
  </w:num>
  <w:num w:numId="10">
    <w:abstractNumId w:val="14"/>
  </w:num>
  <w:num w:numId="11">
    <w:abstractNumId w:val="25"/>
  </w:num>
  <w:num w:numId="12">
    <w:abstractNumId w:val="4"/>
  </w:num>
  <w:num w:numId="13">
    <w:abstractNumId w:val="18"/>
  </w:num>
  <w:num w:numId="14">
    <w:abstractNumId w:val="5"/>
  </w:num>
  <w:num w:numId="15">
    <w:abstractNumId w:val="21"/>
  </w:num>
  <w:num w:numId="16">
    <w:abstractNumId w:val="7"/>
  </w:num>
  <w:num w:numId="17">
    <w:abstractNumId w:val="1"/>
  </w:num>
  <w:num w:numId="18">
    <w:abstractNumId w:val="3"/>
  </w:num>
  <w:num w:numId="19">
    <w:abstractNumId w:val="22"/>
  </w:num>
  <w:num w:numId="20">
    <w:abstractNumId w:val="6"/>
  </w:num>
  <w:num w:numId="21">
    <w:abstractNumId w:val="24"/>
  </w:num>
  <w:num w:numId="22">
    <w:abstractNumId w:val="11"/>
  </w:num>
  <w:num w:numId="23">
    <w:abstractNumId w:val="9"/>
  </w:num>
  <w:num w:numId="24">
    <w:abstractNumId w:val="15"/>
  </w:num>
  <w:num w:numId="25">
    <w:abstractNumId w:val="8"/>
  </w:num>
  <w:num w:numId="26">
    <w:abstractNumId w:val="2"/>
  </w:num>
  <w:num w:numId="27">
    <w:abstractNumId w:val="0"/>
  </w:num>
  <w:num w:numId="28">
    <w:abstractNumId w:val="19"/>
  </w:num>
  <w:num w:numId="29">
    <w:abstractNumId w:val="10"/>
  </w:num>
  <w:num w:numId="30">
    <w:abstractNumId w:val="17"/>
  </w:num>
  <w:num w:numId="31">
    <w:abstractNumId w:val="12"/>
  </w:num>
  <w:num w:numId="32">
    <w:abstractNumId w:val="28"/>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2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23605"/>
    <w:rsid w:val="000068C4"/>
    <w:rsid w:val="00012733"/>
    <w:rsid w:val="00023605"/>
    <w:rsid w:val="000271CD"/>
    <w:rsid w:val="00053926"/>
    <w:rsid w:val="00094629"/>
    <w:rsid w:val="000B13AB"/>
    <w:rsid w:val="000B3E99"/>
    <w:rsid w:val="000E566B"/>
    <w:rsid w:val="000E7DFE"/>
    <w:rsid w:val="001126BF"/>
    <w:rsid w:val="0011525C"/>
    <w:rsid w:val="00122089"/>
    <w:rsid w:val="0012436C"/>
    <w:rsid w:val="0013542C"/>
    <w:rsid w:val="00141A4E"/>
    <w:rsid w:val="00147C75"/>
    <w:rsid w:val="00164342"/>
    <w:rsid w:val="001713B7"/>
    <w:rsid w:val="00176A3A"/>
    <w:rsid w:val="00181C04"/>
    <w:rsid w:val="0018214F"/>
    <w:rsid w:val="001A4938"/>
    <w:rsid w:val="001B5810"/>
    <w:rsid w:val="001D33A9"/>
    <w:rsid w:val="001D3EB3"/>
    <w:rsid w:val="001E60F8"/>
    <w:rsid w:val="001F37B0"/>
    <w:rsid w:val="00202286"/>
    <w:rsid w:val="002077BC"/>
    <w:rsid w:val="002225A5"/>
    <w:rsid w:val="00232337"/>
    <w:rsid w:val="002847B1"/>
    <w:rsid w:val="002874FA"/>
    <w:rsid w:val="0029750B"/>
    <w:rsid w:val="002B202C"/>
    <w:rsid w:val="002B4C7A"/>
    <w:rsid w:val="002C594D"/>
    <w:rsid w:val="002E0EF9"/>
    <w:rsid w:val="002E717C"/>
    <w:rsid w:val="002F6E2A"/>
    <w:rsid w:val="002F77AB"/>
    <w:rsid w:val="00310DF2"/>
    <w:rsid w:val="0031473D"/>
    <w:rsid w:val="003728E8"/>
    <w:rsid w:val="00383244"/>
    <w:rsid w:val="003B3C12"/>
    <w:rsid w:val="003D653C"/>
    <w:rsid w:val="003E020D"/>
    <w:rsid w:val="003F0E7E"/>
    <w:rsid w:val="003F41FD"/>
    <w:rsid w:val="003F7167"/>
    <w:rsid w:val="00411557"/>
    <w:rsid w:val="00426C07"/>
    <w:rsid w:val="00454204"/>
    <w:rsid w:val="00477981"/>
    <w:rsid w:val="004A5873"/>
    <w:rsid w:val="004E08BC"/>
    <w:rsid w:val="004F4164"/>
    <w:rsid w:val="00506FDA"/>
    <w:rsid w:val="00525E0C"/>
    <w:rsid w:val="00525EA6"/>
    <w:rsid w:val="00527475"/>
    <w:rsid w:val="00566834"/>
    <w:rsid w:val="00566ADE"/>
    <w:rsid w:val="005755FE"/>
    <w:rsid w:val="00575823"/>
    <w:rsid w:val="0058564B"/>
    <w:rsid w:val="005929DB"/>
    <w:rsid w:val="005D5156"/>
    <w:rsid w:val="005E100D"/>
    <w:rsid w:val="005E4113"/>
    <w:rsid w:val="005F0BEE"/>
    <w:rsid w:val="005F71D0"/>
    <w:rsid w:val="0060003A"/>
    <w:rsid w:val="00605E36"/>
    <w:rsid w:val="006071A2"/>
    <w:rsid w:val="00616225"/>
    <w:rsid w:val="00625D55"/>
    <w:rsid w:val="006263D6"/>
    <w:rsid w:val="00652949"/>
    <w:rsid w:val="00670C5C"/>
    <w:rsid w:val="00697186"/>
    <w:rsid w:val="006C5035"/>
    <w:rsid w:val="007004B7"/>
    <w:rsid w:val="00745979"/>
    <w:rsid w:val="007500EE"/>
    <w:rsid w:val="00756BD1"/>
    <w:rsid w:val="007803BB"/>
    <w:rsid w:val="007809BD"/>
    <w:rsid w:val="007C142D"/>
    <w:rsid w:val="007F5BB1"/>
    <w:rsid w:val="007F7AFB"/>
    <w:rsid w:val="00801089"/>
    <w:rsid w:val="0082470A"/>
    <w:rsid w:val="00832FD8"/>
    <w:rsid w:val="00853B38"/>
    <w:rsid w:val="00885F45"/>
    <w:rsid w:val="00887766"/>
    <w:rsid w:val="008D5E04"/>
    <w:rsid w:val="008D689E"/>
    <w:rsid w:val="008F5CA4"/>
    <w:rsid w:val="00907D80"/>
    <w:rsid w:val="00925949"/>
    <w:rsid w:val="0094002D"/>
    <w:rsid w:val="0096204E"/>
    <w:rsid w:val="00986EDB"/>
    <w:rsid w:val="009A3FCF"/>
    <w:rsid w:val="009B20B0"/>
    <w:rsid w:val="009C099B"/>
    <w:rsid w:val="009C4091"/>
    <w:rsid w:val="009C667D"/>
    <w:rsid w:val="009C7DD6"/>
    <w:rsid w:val="009D0C7E"/>
    <w:rsid w:val="009E1AA8"/>
    <w:rsid w:val="009E70FC"/>
    <w:rsid w:val="00A17C48"/>
    <w:rsid w:val="00A44561"/>
    <w:rsid w:val="00A63A3E"/>
    <w:rsid w:val="00A92201"/>
    <w:rsid w:val="00A959E5"/>
    <w:rsid w:val="00AA1005"/>
    <w:rsid w:val="00AB3F3A"/>
    <w:rsid w:val="00AC3A8F"/>
    <w:rsid w:val="00AC5278"/>
    <w:rsid w:val="00AE1096"/>
    <w:rsid w:val="00B03E73"/>
    <w:rsid w:val="00B2531F"/>
    <w:rsid w:val="00B26028"/>
    <w:rsid w:val="00B35FF5"/>
    <w:rsid w:val="00B438DB"/>
    <w:rsid w:val="00B56AF1"/>
    <w:rsid w:val="00B643CE"/>
    <w:rsid w:val="00B67BF6"/>
    <w:rsid w:val="00B77375"/>
    <w:rsid w:val="00B91B21"/>
    <w:rsid w:val="00BA2A2E"/>
    <w:rsid w:val="00BB2C78"/>
    <w:rsid w:val="00BC6D68"/>
    <w:rsid w:val="00BD7BAA"/>
    <w:rsid w:val="00C16045"/>
    <w:rsid w:val="00C26A41"/>
    <w:rsid w:val="00C466F7"/>
    <w:rsid w:val="00C50967"/>
    <w:rsid w:val="00C6272D"/>
    <w:rsid w:val="00C67DC6"/>
    <w:rsid w:val="00C75AEC"/>
    <w:rsid w:val="00C75C50"/>
    <w:rsid w:val="00C842AF"/>
    <w:rsid w:val="00C928F2"/>
    <w:rsid w:val="00CB044B"/>
    <w:rsid w:val="00CC1026"/>
    <w:rsid w:val="00CF3B74"/>
    <w:rsid w:val="00D16003"/>
    <w:rsid w:val="00D177EC"/>
    <w:rsid w:val="00D60563"/>
    <w:rsid w:val="00D87CFD"/>
    <w:rsid w:val="00E10F78"/>
    <w:rsid w:val="00E13F1E"/>
    <w:rsid w:val="00E231FD"/>
    <w:rsid w:val="00E336F7"/>
    <w:rsid w:val="00E44327"/>
    <w:rsid w:val="00E52B96"/>
    <w:rsid w:val="00E70301"/>
    <w:rsid w:val="00E747EB"/>
    <w:rsid w:val="00E93766"/>
    <w:rsid w:val="00EA1FA5"/>
    <w:rsid w:val="00EA55B1"/>
    <w:rsid w:val="00EB143C"/>
    <w:rsid w:val="00EB4D83"/>
    <w:rsid w:val="00EB5305"/>
    <w:rsid w:val="00EB64F6"/>
    <w:rsid w:val="00ED2B95"/>
    <w:rsid w:val="00ED7790"/>
    <w:rsid w:val="00EF5641"/>
    <w:rsid w:val="00F745CC"/>
    <w:rsid w:val="00FB5A9D"/>
    <w:rsid w:val="00FC3394"/>
    <w:rsid w:val="00FF537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41"/>
    <w:pPr>
      <w:widowControl w:val="0"/>
      <w:jc w:val="both"/>
    </w:pPr>
    <w:rPr>
      <w:rFonts w:ascii="Arial" w:hAnsi="Arial"/>
      <w:spacing w:val="-3"/>
      <w:sz w:val="24"/>
      <w:lang w:val="es-ES_tradnl"/>
    </w:rPr>
  </w:style>
  <w:style w:type="paragraph" w:styleId="Ttulo1">
    <w:name w:val="heading 1"/>
    <w:basedOn w:val="Normal"/>
    <w:next w:val="Normal"/>
    <w:qFormat/>
    <w:rsid w:val="003F0E7E"/>
    <w:pPr>
      <w:keepNext/>
      <w:numPr>
        <w:numId w:val="1"/>
      </w:numPr>
      <w:outlineLvl w:val="0"/>
    </w:pPr>
    <w:rPr>
      <w:b/>
      <w:caps/>
      <w:sz w:val="28"/>
    </w:rPr>
  </w:style>
  <w:style w:type="paragraph" w:styleId="Ttulo2">
    <w:name w:val="heading 2"/>
    <w:basedOn w:val="Normal"/>
    <w:next w:val="Normal"/>
    <w:qFormat/>
    <w:rsid w:val="00B35FF5"/>
    <w:pPr>
      <w:numPr>
        <w:ilvl w:val="1"/>
        <w:numId w:val="1"/>
      </w:numPr>
      <w:outlineLvl w:val="1"/>
    </w:pPr>
    <w:rPr>
      <w:b/>
    </w:rPr>
  </w:style>
  <w:style w:type="paragraph" w:styleId="Ttulo3">
    <w:name w:val="heading 3"/>
    <w:basedOn w:val="Normal"/>
    <w:next w:val="Normal"/>
    <w:qFormat/>
    <w:rsid w:val="00B35FF5"/>
    <w:pPr>
      <w:numPr>
        <w:ilvl w:val="2"/>
        <w:numId w:val="1"/>
      </w:numPr>
      <w:suppressAutoHyphens/>
      <w:outlineLvl w:val="2"/>
    </w:pPr>
    <w:rPr>
      <w:b/>
    </w:rPr>
  </w:style>
  <w:style w:type="paragraph" w:styleId="Ttulo4">
    <w:name w:val="heading 4"/>
    <w:basedOn w:val="Normal"/>
    <w:next w:val="Normal"/>
    <w:qFormat/>
    <w:rsid w:val="00B35FF5"/>
    <w:pPr>
      <w:numPr>
        <w:ilvl w:val="3"/>
        <w:numId w:val="1"/>
      </w:numPr>
      <w:suppressAutoHyphen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o">
    <w:name w:val="Cuadro"/>
    <w:basedOn w:val="Normal"/>
    <w:rsid w:val="00EF5641"/>
    <w:pPr>
      <w:spacing w:before="20"/>
      <w:jc w:val="center"/>
    </w:pPr>
    <w:rPr>
      <w:sz w:val="20"/>
    </w:rPr>
  </w:style>
  <w:style w:type="paragraph" w:styleId="Encabezado">
    <w:name w:val="header"/>
    <w:aliases w:val="encabezado"/>
    <w:basedOn w:val="Normal"/>
    <w:semiHidden/>
    <w:rsid w:val="00EF5641"/>
    <w:pPr>
      <w:tabs>
        <w:tab w:val="right" w:pos="9072"/>
      </w:tabs>
    </w:pPr>
    <w:rPr>
      <w:i/>
      <w:sz w:val="14"/>
      <w:u w:val="single"/>
    </w:rPr>
  </w:style>
  <w:style w:type="character" w:styleId="Nmerodepgina">
    <w:name w:val="page number"/>
    <w:basedOn w:val="Fuentedeprrafopredeter"/>
    <w:semiHidden/>
    <w:rsid w:val="00EF5641"/>
    <w:rPr>
      <w:sz w:val="14"/>
    </w:rPr>
  </w:style>
  <w:style w:type="paragraph" w:styleId="Piedepgina">
    <w:name w:val="footer"/>
    <w:basedOn w:val="Normal"/>
    <w:semiHidden/>
    <w:rsid w:val="00EF5641"/>
    <w:pPr>
      <w:tabs>
        <w:tab w:val="center" w:pos="4252"/>
        <w:tab w:val="right" w:pos="9072"/>
      </w:tabs>
    </w:pPr>
    <w:rPr>
      <w:i/>
      <w:sz w:val="14"/>
    </w:rPr>
  </w:style>
  <w:style w:type="paragraph" w:styleId="TDC1">
    <w:name w:val="toc 1"/>
    <w:basedOn w:val="Normal"/>
    <w:next w:val="Normal"/>
    <w:autoRedefine/>
    <w:uiPriority w:val="39"/>
    <w:rsid w:val="003B3C12"/>
    <w:pPr>
      <w:spacing w:before="120" w:after="120"/>
      <w:jc w:val="left"/>
    </w:pPr>
    <w:rPr>
      <w:rFonts w:ascii="Calibri" w:hAnsi="Calibri"/>
      <w:b/>
      <w:bCs/>
      <w:caps/>
      <w:sz w:val="20"/>
    </w:rPr>
  </w:style>
  <w:style w:type="paragraph" w:customStyle="1" w:styleId="Titulofigura">
    <w:name w:val="Titulo figura"/>
    <w:basedOn w:val="Normal"/>
    <w:rsid w:val="004E08BC"/>
    <w:pPr>
      <w:numPr>
        <w:numId w:val="6"/>
      </w:numPr>
      <w:jc w:val="center"/>
    </w:pPr>
    <w:rPr>
      <w:b/>
    </w:rPr>
  </w:style>
  <w:style w:type="paragraph" w:customStyle="1" w:styleId="Titulocuadro">
    <w:name w:val="Titulo cuadro"/>
    <w:basedOn w:val="Normal"/>
    <w:next w:val="Cuadro"/>
    <w:rsid w:val="00B35FF5"/>
    <w:pPr>
      <w:numPr>
        <w:numId w:val="5"/>
      </w:numPr>
      <w:jc w:val="center"/>
    </w:pPr>
    <w:rPr>
      <w:b/>
    </w:rPr>
  </w:style>
  <w:style w:type="table" w:styleId="Tablaconcuadrcula">
    <w:name w:val="Table Grid"/>
    <w:basedOn w:val="Tablanormal"/>
    <w:uiPriority w:val="59"/>
    <w:rsid w:val="003D65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Foto">
    <w:name w:val="Titulo Foto"/>
    <w:basedOn w:val="Normal"/>
    <w:rsid w:val="00B35FF5"/>
    <w:pPr>
      <w:numPr>
        <w:numId w:val="8"/>
      </w:numPr>
      <w:spacing w:before="4"/>
    </w:pPr>
    <w:rPr>
      <w:sz w:val="18"/>
      <w:szCs w:val="18"/>
    </w:rPr>
  </w:style>
  <w:style w:type="paragraph" w:styleId="TDC2">
    <w:name w:val="toc 2"/>
    <w:basedOn w:val="Normal"/>
    <w:next w:val="Normal"/>
    <w:autoRedefine/>
    <w:uiPriority w:val="39"/>
    <w:rsid w:val="003B3C12"/>
    <w:pPr>
      <w:ind w:left="240"/>
      <w:jc w:val="left"/>
    </w:pPr>
    <w:rPr>
      <w:rFonts w:ascii="Calibri" w:hAnsi="Calibri"/>
      <w:smallCaps/>
      <w:sz w:val="20"/>
    </w:rPr>
  </w:style>
  <w:style w:type="paragraph" w:styleId="TDC3">
    <w:name w:val="toc 3"/>
    <w:basedOn w:val="Normal"/>
    <w:next w:val="Normal"/>
    <w:autoRedefine/>
    <w:uiPriority w:val="39"/>
    <w:rsid w:val="003B3C12"/>
    <w:pPr>
      <w:ind w:left="480"/>
      <w:jc w:val="left"/>
    </w:pPr>
    <w:rPr>
      <w:rFonts w:ascii="Calibri" w:hAnsi="Calibri"/>
      <w:i/>
      <w:iCs/>
      <w:sz w:val="20"/>
    </w:rPr>
  </w:style>
  <w:style w:type="paragraph" w:styleId="TDC4">
    <w:name w:val="toc 4"/>
    <w:basedOn w:val="Normal"/>
    <w:next w:val="Normal"/>
    <w:autoRedefine/>
    <w:semiHidden/>
    <w:rsid w:val="003B3C12"/>
    <w:pPr>
      <w:ind w:left="720"/>
      <w:jc w:val="left"/>
    </w:pPr>
    <w:rPr>
      <w:rFonts w:ascii="Calibri" w:hAnsi="Calibri"/>
      <w:sz w:val="18"/>
      <w:szCs w:val="18"/>
    </w:rPr>
  </w:style>
  <w:style w:type="character" w:styleId="Hipervnculo">
    <w:name w:val="Hyperlink"/>
    <w:basedOn w:val="Fuentedeprrafopredeter"/>
    <w:uiPriority w:val="99"/>
    <w:rsid w:val="003B3C12"/>
    <w:rPr>
      <w:color w:val="0000FF"/>
      <w:u w:val="single"/>
    </w:rPr>
  </w:style>
  <w:style w:type="numbering" w:customStyle="1" w:styleId="Estilo4">
    <w:name w:val="Estilo4"/>
    <w:rsid w:val="009C099B"/>
    <w:pPr>
      <w:numPr>
        <w:numId w:val="13"/>
      </w:numPr>
    </w:pPr>
  </w:style>
  <w:style w:type="paragraph" w:styleId="Prrafodelista">
    <w:name w:val="List Paragraph"/>
    <w:basedOn w:val="Normal"/>
    <w:uiPriority w:val="34"/>
    <w:qFormat/>
    <w:rsid w:val="002C594D"/>
    <w:pPr>
      <w:ind w:left="720"/>
      <w:contextualSpacing/>
    </w:pPr>
  </w:style>
  <w:style w:type="paragraph" w:styleId="Textonotapie">
    <w:name w:val="footnote text"/>
    <w:basedOn w:val="Normal"/>
    <w:link w:val="TextonotapieCar"/>
    <w:uiPriority w:val="99"/>
    <w:semiHidden/>
    <w:unhideWhenUsed/>
    <w:rsid w:val="00AC5278"/>
    <w:rPr>
      <w:sz w:val="20"/>
    </w:rPr>
  </w:style>
  <w:style w:type="character" w:customStyle="1" w:styleId="TextonotapieCar">
    <w:name w:val="Texto nota pie Car"/>
    <w:basedOn w:val="Fuentedeprrafopredeter"/>
    <w:link w:val="Textonotapie"/>
    <w:uiPriority w:val="99"/>
    <w:semiHidden/>
    <w:rsid w:val="00AC5278"/>
    <w:rPr>
      <w:rFonts w:ascii="Arial" w:hAnsi="Arial"/>
      <w:spacing w:val="-3"/>
      <w:lang w:val="es-ES_tradnl" w:eastAsia="es-ES"/>
    </w:rPr>
  </w:style>
  <w:style w:type="character" w:styleId="Refdenotaalpie">
    <w:name w:val="footnote reference"/>
    <w:basedOn w:val="Fuentedeprrafopredeter"/>
    <w:uiPriority w:val="99"/>
    <w:semiHidden/>
    <w:unhideWhenUsed/>
    <w:rsid w:val="00AC5278"/>
    <w:rPr>
      <w:vertAlign w:val="superscript"/>
    </w:rPr>
  </w:style>
  <w:style w:type="paragraph" w:styleId="TtulodeTDC">
    <w:name w:val="TOC Heading"/>
    <w:basedOn w:val="Ttulo1"/>
    <w:next w:val="Normal"/>
    <w:uiPriority w:val="39"/>
    <w:semiHidden/>
    <w:unhideWhenUsed/>
    <w:qFormat/>
    <w:rsid w:val="00E13F1E"/>
    <w:pPr>
      <w:keepLines/>
      <w:widowControl/>
      <w:numPr>
        <w:numId w:val="0"/>
      </w:numPr>
      <w:spacing w:before="480" w:line="276" w:lineRule="auto"/>
      <w:jc w:val="left"/>
      <w:outlineLvl w:val="9"/>
    </w:pPr>
    <w:rPr>
      <w:rFonts w:ascii="Cambria" w:hAnsi="Cambria"/>
      <w:bCs/>
      <w:caps w:val="0"/>
      <w:color w:val="365F91"/>
      <w:spacing w:val="0"/>
      <w:szCs w:val="28"/>
      <w:lang w:val="es-ES" w:eastAsia="en-US"/>
    </w:rPr>
  </w:style>
  <w:style w:type="paragraph" w:styleId="TDC5">
    <w:name w:val="toc 5"/>
    <w:basedOn w:val="Normal"/>
    <w:next w:val="Normal"/>
    <w:autoRedefine/>
    <w:uiPriority w:val="39"/>
    <w:unhideWhenUsed/>
    <w:rsid w:val="00E13F1E"/>
    <w:pPr>
      <w:ind w:left="960"/>
      <w:jc w:val="left"/>
    </w:pPr>
    <w:rPr>
      <w:rFonts w:ascii="Calibri" w:hAnsi="Calibri"/>
      <w:sz w:val="18"/>
      <w:szCs w:val="18"/>
    </w:rPr>
  </w:style>
  <w:style w:type="paragraph" w:styleId="TDC6">
    <w:name w:val="toc 6"/>
    <w:basedOn w:val="Normal"/>
    <w:next w:val="Normal"/>
    <w:autoRedefine/>
    <w:uiPriority w:val="39"/>
    <w:unhideWhenUsed/>
    <w:rsid w:val="00E13F1E"/>
    <w:pPr>
      <w:ind w:left="1200"/>
      <w:jc w:val="left"/>
    </w:pPr>
    <w:rPr>
      <w:rFonts w:ascii="Calibri" w:hAnsi="Calibri"/>
      <w:sz w:val="18"/>
      <w:szCs w:val="18"/>
    </w:rPr>
  </w:style>
  <w:style w:type="paragraph" w:styleId="TDC7">
    <w:name w:val="toc 7"/>
    <w:basedOn w:val="Normal"/>
    <w:next w:val="Normal"/>
    <w:autoRedefine/>
    <w:uiPriority w:val="39"/>
    <w:unhideWhenUsed/>
    <w:rsid w:val="00E13F1E"/>
    <w:pPr>
      <w:ind w:left="1440"/>
      <w:jc w:val="left"/>
    </w:pPr>
    <w:rPr>
      <w:rFonts w:ascii="Calibri" w:hAnsi="Calibri"/>
      <w:sz w:val="18"/>
      <w:szCs w:val="18"/>
    </w:rPr>
  </w:style>
  <w:style w:type="paragraph" w:styleId="TDC8">
    <w:name w:val="toc 8"/>
    <w:basedOn w:val="Normal"/>
    <w:next w:val="Normal"/>
    <w:autoRedefine/>
    <w:uiPriority w:val="39"/>
    <w:unhideWhenUsed/>
    <w:rsid w:val="00E13F1E"/>
    <w:pPr>
      <w:ind w:left="1680"/>
      <w:jc w:val="left"/>
    </w:pPr>
    <w:rPr>
      <w:rFonts w:ascii="Calibri" w:hAnsi="Calibri"/>
      <w:sz w:val="18"/>
      <w:szCs w:val="18"/>
    </w:rPr>
  </w:style>
  <w:style w:type="paragraph" w:styleId="TDC9">
    <w:name w:val="toc 9"/>
    <w:basedOn w:val="Normal"/>
    <w:next w:val="Normal"/>
    <w:autoRedefine/>
    <w:uiPriority w:val="39"/>
    <w:unhideWhenUsed/>
    <w:rsid w:val="00E13F1E"/>
    <w:pPr>
      <w:ind w:left="1920"/>
      <w:jc w:val="left"/>
    </w:pPr>
    <w:rPr>
      <w:rFonts w:ascii="Calibri" w:hAnsi="Calibri"/>
      <w:sz w:val="18"/>
      <w:szCs w:val="18"/>
    </w:rPr>
  </w:style>
  <w:style w:type="paragraph" w:customStyle="1" w:styleId="Standard">
    <w:name w:val="Standard"/>
    <w:rsid w:val="005929DB"/>
    <w:pPr>
      <w:suppressAutoHyphens/>
      <w:autoSpaceDN w:val="0"/>
      <w:textAlignment w:val="baseline"/>
    </w:pPr>
    <w:rPr>
      <w:kern w:val="3"/>
      <w:lang w:eastAsia="es-CL"/>
    </w:rPr>
  </w:style>
  <w:style w:type="paragraph" w:customStyle="1" w:styleId="Textodenotaalfinal">
    <w:name w:val="Texto de nota al final"/>
    <w:basedOn w:val="Standard"/>
    <w:rsid w:val="005929DB"/>
    <w:pPr>
      <w:widowControl w:val="0"/>
    </w:pPr>
    <w:rPr>
      <w:rFonts w:ascii="Courier New" w:hAnsi="Courier New"/>
      <w:sz w:val="24"/>
    </w:rPr>
  </w:style>
  <w:style w:type="numbering" w:customStyle="1" w:styleId="WW8Num3">
    <w:name w:val="WW8Num3"/>
    <w:basedOn w:val="Sinlista"/>
    <w:rsid w:val="00BC6D68"/>
    <w:pPr>
      <w:numPr>
        <w:numId w:val="2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2986</Words>
  <Characters>16427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CAPÍTULO 1: INTRODUCCIÓN</vt:lpstr>
    </vt:vector>
  </TitlesOfParts>
  <Company>Suroeste Consultores Ltda</Company>
  <LinksUpToDate>false</LinksUpToDate>
  <CharactersWithSpaces>19375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 INTRODUCCIÓN</dc:title>
  <dc:subject/>
  <dc:creator>Wladimir Matulic</dc:creator>
  <cp:keywords/>
  <cp:lastModifiedBy>.</cp:lastModifiedBy>
  <cp:revision>2</cp:revision>
  <cp:lastPrinted>2009-07-27T16:10:00Z</cp:lastPrinted>
  <dcterms:created xsi:type="dcterms:W3CDTF">2015-01-28T13:59:00Z</dcterms:created>
  <dcterms:modified xsi:type="dcterms:W3CDTF">2015-01-28T13:59:00Z</dcterms:modified>
</cp:coreProperties>
</file>