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25C" w:rsidRDefault="000B3E99" w:rsidP="000B3E99">
      <w:pPr>
        <w:pStyle w:val="Ttulo1"/>
      </w:pPr>
      <w:r>
        <w:t>Presentación</w:t>
      </w:r>
    </w:p>
    <w:p w:rsidR="000B3E99" w:rsidRDefault="000B3E99" w:rsidP="000B3E99"/>
    <w:p w:rsidR="000B3E99" w:rsidRPr="004033C7" w:rsidRDefault="000B3E99" w:rsidP="000B3E99">
      <w:pPr>
        <w:rPr>
          <w:rFonts w:cs="Arial"/>
        </w:rPr>
      </w:pPr>
      <w:r w:rsidRPr="004033C7">
        <w:rPr>
          <w:rFonts w:cs="Arial"/>
        </w:rPr>
        <w:t>El presente informe corresponde al Estudio de Capacidad Vial de</w:t>
      </w:r>
      <w:r>
        <w:rPr>
          <w:rFonts w:cs="Arial"/>
        </w:rPr>
        <w:t xml:space="preserve"> la Modificación de</w:t>
      </w:r>
      <w:r w:rsidRPr="004033C7">
        <w:rPr>
          <w:rFonts w:cs="Arial"/>
        </w:rPr>
        <w:t xml:space="preserve">l Plan Regulador Comunal (PRC) de </w:t>
      </w:r>
      <w:r>
        <w:rPr>
          <w:rFonts w:cs="Arial"/>
        </w:rPr>
        <w:t xml:space="preserve">San Miguel en el Sector denominado El </w:t>
      </w:r>
      <w:r w:rsidR="00EC5156">
        <w:rPr>
          <w:rFonts w:cs="Arial"/>
        </w:rPr>
        <w:t>Llano</w:t>
      </w:r>
      <w:r>
        <w:rPr>
          <w:rFonts w:cs="Arial"/>
        </w:rPr>
        <w:t xml:space="preserve"> cuyo objetivo es demostrar que la modificación propuesta no cambia las conclusiones del Estudio de Capacidad Vial aprobado junto con el PRC vigente que garantiza que las vialidad </w:t>
      </w:r>
      <w:r w:rsidRPr="00CC139E">
        <w:rPr>
          <w:rFonts w:cs="Arial"/>
        </w:rPr>
        <w:t>estructurante definida y sus fajas propuestas son capaces de absorber la demanda</w:t>
      </w:r>
      <w:r>
        <w:rPr>
          <w:rFonts w:cs="Arial"/>
        </w:rPr>
        <w:t xml:space="preserve"> producida por las </w:t>
      </w:r>
      <w:r w:rsidRPr="004033C7">
        <w:rPr>
          <w:rFonts w:cs="Arial"/>
        </w:rPr>
        <w:t>actividades residenciales y no residenciales presentes en el área de estudio, prestando un nivel de servicio adecuado a los usuarios.</w:t>
      </w:r>
    </w:p>
    <w:p w:rsidR="000B3E99" w:rsidRDefault="000B3E99" w:rsidP="000B3E99">
      <w:pPr>
        <w:rPr>
          <w:rFonts w:cs="Arial"/>
        </w:rPr>
      </w:pPr>
    </w:p>
    <w:p w:rsidR="002E717C" w:rsidRDefault="002E717C" w:rsidP="000B3E99">
      <w:pPr>
        <w:rPr>
          <w:szCs w:val="24"/>
          <w:lang w:val="es-CL"/>
        </w:rPr>
      </w:pPr>
      <w:r>
        <w:rPr>
          <w:rFonts w:cs="Arial"/>
        </w:rPr>
        <w:t>Para ello, se demostrará que el cambio propuesto no modifica mayormente la generación y atracción de viajes y que las condiciones de saturación de la vialidad estructurante se mantiene</w:t>
      </w:r>
      <w:r w:rsidR="007A5A65">
        <w:rPr>
          <w:rFonts w:cs="Arial"/>
        </w:rPr>
        <w:t>n</w:t>
      </w:r>
      <w:r>
        <w:rPr>
          <w:rFonts w:cs="Arial"/>
        </w:rPr>
        <w:t xml:space="preserve"> en las mismas condiciones que se evaluaron en el estudio de capacidad vial original aprobado junto con el PRC me</w:t>
      </w:r>
      <w:r>
        <w:rPr>
          <w:szCs w:val="24"/>
          <w:lang w:val="es-CL"/>
        </w:rPr>
        <w:t>diante el Decreto Exento Nº</w:t>
      </w:r>
      <w:r>
        <w:rPr>
          <w:sz w:val="6"/>
          <w:szCs w:val="6"/>
          <w:lang w:val="es-CL"/>
        </w:rPr>
        <w:t xml:space="preserve"> </w:t>
      </w:r>
      <w:r>
        <w:rPr>
          <w:szCs w:val="24"/>
          <w:lang w:val="es-CL"/>
        </w:rPr>
        <w:t>2401, de fecha 16 de Noviembre del 2005.</w:t>
      </w:r>
    </w:p>
    <w:p w:rsidR="002E717C" w:rsidRDefault="002E717C" w:rsidP="000B3E99">
      <w:pPr>
        <w:rPr>
          <w:szCs w:val="24"/>
          <w:lang w:val="es-CL"/>
        </w:rPr>
      </w:pPr>
    </w:p>
    <w:p w:rsidR="000B3E99" w:rsidRDefault="002E717C" w:rsidP="002E717C">
      <w:pPr>
        <w:pStyle w:val="Ttulo1"/>
        <w:rPr>
          <w:lang w:val="es-CL"/>
        </w:rPr>
      </w:pPr>
      <w:r>
        <w:rPr>
          <w:lang w:val="es-CL"/>
        </w:rPr>
        <w:t>Antecedentes del estudio de capacidad vial del prc vigente</w:t>
      </w:r>
    </w:p>
    <w:p w:rsidR="002E717C" w:rsidRPr="00295D4B" w:rsidRDefault="002E717C" w:rsidP="002E717C">
      <w:pPr>
        <w:rPr>
          <w:rFonts w:cs="Arial"/>
          <w:szCs w:val="24"/>
          <w:lang w:val="es-CL"/>
        </w:rPr>
      </w:pPr>
    </w:p>
    <w:p w:rsidR="002E717C" w:rsidRPr="00295D4B" w:rsidRDefault="00566834" w:rsidP="00566834">
      <w:pPr>
        <w:widowControl/>
        <w:autoSpaceDE w:val="0"/>
        <w:autoSpaceDN w:val="0"/>
        <w:adjustRightInd w:val="0"/>
        <w:rPr>
          <w:rFonts w:cs="Arial"/>
          <w:spacing w:val="0"/>
          <w:szCs w:val="24"/>
          <w:lang w:val="es-MX" w:eastAsia="es-MX"/>
        </w:rPr>
      </w:pPr>
      <w:r w:rsidRPr="00295D4B">
        <w:rPr>
          <w:rFonts w:cs="Arial"/>
          <w:spacing w:val="0"/>
          <w:szCs w:val="24"/>
          <w:lang w:val="es-MX" w:eastAsia="es-MX"/>
        </w:rPr>
        <w:t>El Análisis de Capacidad de Vial del Plano Regulador Comunal de San Miguel fue desarrollado por la empresa consultora ECOHAB CONSULTORES (2001), y en él se ha utilizado el modelo de equilibrio simultaneo Estraus, el cual fue desarrollado por el Estado de Chile, a través de la Secretaría Ejecutiva de la Comisión de Planificación de Inversiones en Infraestructura de Transporte – SECTRA. Este modelo (Estraus) resuelve en forma simultánea las etapas de Generación Atracción, Distribución, Partición Modal y Asignación (a redes de transporte) del modelo clásico de transporte aplicado sobre el territorio normado por el PRMS.</w:t>
      </w:r>
    </w:p>
    <w:p w:rsidR="00566834" w:rsidRPr="00295D4B" w:rsidRDefault="00566834" w:rsidP="00566834">
      <w:pPr>
        <w:widowControl/>
        <w:autoSpaceDE w:val="0"/>
        <w:autoSpaceDN w:val="0"/>
        <w:adjustRightInd w:val="0"/>
        <w:rPr>
          <w:rFonts w:cs="Arial"/>
          <w:szCs w:val="24"/>
          <w:lang w:val="es-CL"/>
        </w:rPr>
      </w:pPr>
    </w:p>
    <w:p w:rsidR="00EA1FA5" w:rsidRPr="00295D4B" w:rsidRDefault="00566834" w:rsidP="00566834">
      <w:pPr>
        <w:widowControl/>
        <w:autoSpaceDE w:val="0"/>
        <w:autoSpaceDN w:val="0"/>
        <w:adjustRightInd w:val="0"/>
        <w:rPr>
          <w:rFonts w:cs="Arial"/>
          <w:spacing w:val="0"/>
          <w:szCs w:val="24"/>
          <w:lang w:val="es-MX" w:eastAsia="es-MX"/>
        </w:rPr>
      </w:pPr>
      <w:r w:rsidRPr="00295D4B">
        <w:rPr>
          <w:rFonts w:cs="Arial"/>
          <w:spacing w:val="0"/>
          <w:szCs w:val="24"/>
          <w:lang w:val="es-MX" w:eastAsia="es-MX"/>
        </w:rPr>
        <w:t xml:space="preserve">En el cuadro siguiente se presentan los resultados de la corrida del modelo en donde se muestra para los ejes estructurantes de la comuna la demanda de transporte </w:t>
      </w:r>
      <w:r w:rsidR="00EA1FA5" w:rsidRPr="00295D4B">
        <w:rPr>
          <w:rFonts w:cs="Arial"/>
          <w:spacing w:val="0"/>
          <w:szCs w:val="24"/>
          <w:lang w:val="es-MX" w:eastAsia="es-MX"/>
        </w:rPr>
        <w:t>(</w:t>
      </w:r>
      <w:r w:rsidRPr="00295D4B">
        <w:rPr>
          <w:rFonts w:cs="Arial"/>
          <w:spacing w:val="0"/>
          <w:szCs w:val="24"/>
          <w:lang w:val="es-MX" w:eastAsia="es-MX"/>
        </w:rPr>
        <w:t>a</w:t>
      </w:r>
      <w:r w:rsidR="00EA1FA5" w:rsidRPr="00295D4B">
        <w:rPr>
          <w:rFonts w:cs="Arial"/>
          <w:spacing w:val="0"/>
          <w:szCs w:val="24"/>
          <w:lang w:val="es-MX" w:eastAsia="es-MX"/>
        </w:rPr>
        <w:t xml:space="preserve"> </w:t>
      </w:r>
      <w:r w:rsidRPr="00295D4B">
        <w:rPr>
          <w:rFonts w:cs="Arial"/>
          <w:spacing w:val="0"/>
          <w:szCs w:val="24"/>
          <w:lang w:val="es-MX" w:eastAsia="es-MX"/>
        </w:rPr>
        <w:t xml:space="preserve">nivel de flujos vehiculares) sobre ellos y su grado de </w:t>
      </w:r>
      <w:r w:rsidR="00EA1FA5" w:rsidRPr="00295D4B">
        <w:rPr>
          <w:rFonts w:cs="Arial"/>
          <w:spacing w:val="0"/>
          <w:szCs w:val="24"/>
          <w:lang w:val="es-MX" w:eastAsia="es-MX"/>
        </w:rPr>
        <w:t>saturación</w:t>
      </w:r>
      <w:r w:rsidRPr="00295D4B">
        <w:rPr>
          <w:rFonts w:cs="Arial"/>
          <w:spacing w:val="0"/>
          <w:szCs w:val="24"/>
          <w:lang w:val="es-MX" w:eastAsia="es-MX"/>
        </w:rPr>
        <w:t xml:space="preserve">. Cabe mencionar que se entiende que un eje es capaz de absorber los flujos cuando su grado de saturación alcanza niveles del 90%. </w:t>
      </w:r>
    </w:p>
    <w:p w:rsidR="00EA1FA5" w:rsidRDefault="00EA1FA5" w:rsidP="00566834">
      <w:pPr>
        <w:widowControl/>
        <w:autoSpaceDE w:val="0"/>
        <w:autoSpaceDN w:val="0"/>
        <w:adjustRightInd w:val="0"/>
        <w:rPr>
          <w:rFonts w:ascii="ArialNarrow" w:hAnsi="ArialNarrow" w:cs="ArialNarrow"/>
          <w:spacing w:val="0"/>
          <w:sz w:val="23"/>
          <w:szCs w:val="23"/>
          <w:lang w:val="es-MX" w:eastAsia="es-MX"/>
        </w:rPr>
      </w:pPr>
    </w:p>
    <w:p w:rsidR="00EA1FA5" w:rsidRDefault="00EA1FA5" w:rsidP="00EA1FA5">
      <w:pPr>
        <w:pStyle w:val="Titulocuadro"/>
        <w:rPr>
          <w:lang w:val="es-MX" w:eastAsia="es-MX"/>
        </w:rPr>
      </w:pPr>
      <w:r>
        <w:rPr>
          <w:lang w:val="es-MX" w:eastAsia="es-MX"/>
        </w:rPr>
        <w:t>Resultados ECV vigente</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30" w:type="dxa"/>
          <w:right w:w="30" w:type="dxa"/>
        </w:tblCellMar>
        <w:tblLook w:val="0000"/>
      </w:tblPr>
      <w:tblGrid>
        <w:gridCol w:w="907"/>
        <w:gridCol w:w="1813"/>
        <w:gridCol w:w="911"/>
        <w:gridCol w:w="992"/>
        <w:gridCol w:w="850"/>
        <w:gridCol w:w="838"/>
        <w:gridCol w:w="851"/>
        <w:gridCol w:w="929"/>
      </w:tblGrid>
      <w:tr w:rsidR="00EA1FA5" w:rsidTr="002847B1">
        <w:trPr>
          <w:trHeight w:val="262"/>
          <w:tblHeader/>
          <w:jc w:val="center"/>
        </w:trPr>
        <w:tc>
          <w:tcPr>
            <w:tcW w:w="907"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COD</w:t>
            </w:r>
          </w:p>
        </w:tc>
        <w:tc>
          <w:tcPr>
            <w:tcW w:w="1813"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Nombre</w:t>
            </w:r>
          </w:p>
        </w:tc>
        <w:tc>
          <w:tcPr>
            <w:tcW w:w="911"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NODO A</w:t>
            </w:r>
          </w:p>
        </w:tc>
        <w:tc>
          <w:tcPr>
            <w:tcW w:w="992"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NODO B</w:t>
            </w:r>
          </w:p>
        </w:tc>
        <w:tc>
          <w:tcPr>
            <w:tcW w:w="850"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CAPAC</w:t>
            </w:r>
          </w:p>
        </w:tc>
        <w:tc>
          <w:tcPr>
            <w:tcW w:w="838"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FFIJO</w:t>
            </w:r>
          </w:p>
        </w:tc>
        <w:tc>
          <w:tcPr>
            <w:tcW w:w="851"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FEQV</w:t>
            </w:r>
          </w:p>
        </w:tc>
        <w:tc>
          <w:tcPr>
            <w:tcW w:w="929" w:type="dxa"/>
          </w:tcPr>
          <w:p w:rsidR="00EA1FA5" w:rsidRPr="00EA1FA5" w:rsidRDefault="00EA1FA5" w:rsidP="002847B1">
            <w:pPr>
              <w:spacing w:line="360" w:lineRule="exact"/>
              <w:jc w:val="center"/>
              <w:rPr>
                <w:rFonts w:cs="Arial"/>
                <w:b/>
                <w:snapToGrid w:val="0"/>
                <w:sz w:val="16"/>
                <w:szCs w:val="16"/>
              </w:rPr>
            </w:pPr>
            <w:r w:rsidRPr="00EA1FA5">
              <w:rPr>
                <w:rFonts w:cs="Arial"/>
                <w:b/>
                <w:snapToGrid w:val="0"/>
                <w:sz w:val="16"/>
                <w:szCs w:val="16"/>
              </w:rPr>
              <w:t>GS</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M-16-S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Isabel Riquelme</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34978</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701450</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4476</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496,08</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2769,21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61,87%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44072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34978</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4044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282,14</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2521,16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62,34%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M-12-S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Carlos Valdovinos</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701380</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34872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1981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242,46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1374,22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69,37%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34872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701380</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2280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71,27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1507,10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66,10%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34963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44161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2776</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342,14</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1925,15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69,35%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C-17-S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Pedro Alarcon</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833</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406,10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48,75%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1665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843,98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50,69%</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lastRenderedPageBreak/>
              <w:t>T-8-S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Salesianos</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701260</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1665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50,12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538,72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32,36%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1665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50,12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462,97</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27,81%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3700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107,00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284,07</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7,68%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2280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107,00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1436,99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63,03%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C-18-S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San Nicolás</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701170</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34723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1295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575,27</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44,42%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34723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701170</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1295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41,67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627,03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48,42%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34723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833</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256,62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30,81%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34723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1395</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942,35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67,55%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343,69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833</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556,58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66,82%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833</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356,45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42,79%</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894,20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48,34%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M-15-S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Departamental</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701110</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34711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4644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122,07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1147,76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24,71%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34711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701110</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3820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115,63</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2630,01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68,85%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34711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9104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122,07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1126,83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12,38%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34711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3820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120,87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2347,43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61,45%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3216</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127,37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2148,64</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66,81%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5241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120,93</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2834,01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54,07%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112,37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1129,61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42,63%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3820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105,93</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2614,46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68,44%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T-9-S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Lo Ovalle</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701040</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33791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290,15</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512,28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19,33%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33791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701040</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312,34</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1630,39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61,52%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33791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337,59</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492,06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33791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375,39</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1608,52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60,70%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43181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66,24</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478,85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25,88%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43181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50,08</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843,82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45,61%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43181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833</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66,24</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347,89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41,76%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43181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1928</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71,50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1122,02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58,20%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T-2-S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Gran Avenida</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34978</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715,56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860,84</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24,36%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34978</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962,12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4174,34</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118,12%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34963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740,56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824,38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23,33%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34963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34971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962,12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4578,54</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129,56%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34963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783,12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1176,85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33,30%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34963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804,36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4481,47</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126,81%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808,12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1011,04</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28,61%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734,36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3854,59</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109,07%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848,12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1446,11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40,92%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6930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722,36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4022,21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58,04%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34931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6930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741,12</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1457,25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21,03%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34931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672,25</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3800,82</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107,55%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34931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691,00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952,21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26,94%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34931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672,25</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4322,83</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122,32%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676,00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1055,83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29,88%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697,25</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4328,98</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122,50%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652,57</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1749,61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49,51%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34812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6930</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679,05</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5570,91</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80,39%</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33893</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639,86</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1732,96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49,04%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33893</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3534</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638,89</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4519,85</w:t>
            </w:r>
          </w:p>
        </w:tc>
        <w:tc>
          <w:tcPr>
            <w:tcW w:w="929" w:type="dxa"/>
          </w:tcPr>
          <w:p w:rsidR="00EA1FA5" w:rsidRPr="00EA1FA5" w:rsidRDefault="00EA1FA5" w:rsidP="002847B1">
            <w:pPr>
              <w:spacing w:line="360" w:lineRule="exact"/>
              <w:jc w:val="center"/>
              <w:rPr>
                <w:rFonts w:cs="Arial"/>
                <w:snapToGrid w:val="0"/>
                <w:color w:val="FF0000"/>
                <w:sz w:val="16"/>
                <w:szCs w:val="16"/>
              </w:rPr>
            </w:pPr>
            <w:r w:rsidRPr="00EA1FA5">
              <w:rPr>
                <w:rFonts w:cs="Arial"/>
                <w:snapToGrid w:val="0"/>
                <w:color w:val="FF0000"/>
                <w:sz w:val="16"/>
                <w:szCs w:val="16"/>
              </w:rPr>
              <w:t>127,90%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T-6-S</w:t>
            </w:r>
          </w:p>
        </w:tc>
        <w:tc>
          <w:tcPr>
            <w:tcW w:w="1813" w:type="dxa"/>
          </w:tcPr>
          <w:p w:rsidR="00EA1FA5" w:rsidRPr="00EA1FA5" w:rsidRDefault="00EA1FA5" w:rsidP="002847B1">
            <w:pPr>
              <w:spacing w:line="360" w:lineRule="exact"/>
              <w:rPr>
                <w:rFonts w:cs="Arial"/>
                <w:snapToGrid w:val="0"/>
                <w:color w:val="000000"/>
                <w:sz w:val="16"/>
                <w:szCs w:val="16"/>
              </w:rPr>
            </w:pPr>
            <w:r w:rsidRPr="00EA1FA5">
              <w:rPr>
                <w:rFonts w:cs="Arial"/>
                <w:snapToGrid w:val="0"/>
                <w:color w:val="000000"/>
                <w:sz w:val="16"/>
                <w:szCs w:val="16"/>
              </w:rPr>
              <w:t>Santa Rosa</w:t>
            </w: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44072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44171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221,24</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11,95%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44171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44072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1552,59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83,88%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44171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44161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199,96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10,80%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44161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44171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1237,20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66,84%</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44161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330,48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17,85%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44161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1001,30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54,10%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121,57</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6,57%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44151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882,92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47,70%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44141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158,60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8,57%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44141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52,00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1448,76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78,27%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172,22</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9,30%</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44131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1114,20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60,19%</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44121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519,43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28,06%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44121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967,79</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52,28%</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76,08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4,11%</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44111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898,10</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48,52%</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93,15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5,03%</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44101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1017,56</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54,97%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43291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204,75</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11,06%</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43291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15,00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1450,34</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78,35%</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43282</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43281</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219,78</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11,87%</w:t>
            </w:r>
          </w:p>
        </w:tc>
      </w:tr>
      <w:tr w:rsidR="00EA1FA5" w:rsidTr="002847B1">
        <w:trPr>
          <w:trHeight w:val="262"/>
          <w:jc w:val="center"/>
        </w:trPr>
        <w:tc>
          <w:tcPr>
            <w:tcW w:w="907" w:type="dxa"/>
          </w:tcPr>
          <w:p w:rsidR="00EA1FA5" w:rsidRPr="00EA1FA5" w:rsidRDefault="00EA1FA5" w:rsidP="002847B1">
            <w:pPr>
              <w:spacing w:line="360" w:lineRule="exact"/>
              <w:jc w:val="center"/>
              <w:rPr>
                <w:rFonts w:cs="Arial"/>
                <w:snapToGrid w:val="0"/>
                <w:color w:val="000000"/>
                <w:sz w:val="16"/>
                <w:szCs w:val="16"/>
              </w:rPr>
            </w:pPr>
          </w:p>
        </w:tc>
        <w:tc>
          <w:tcPr>
            <w:tcW w:w="1813" w:type="dxa"/>
          </w:tcPr>
          <w:p w:rsidR="00EA1FA5" w:rsidRPr="00EA1FA5" w:rsidRDefault="00EA1FA5" w:rsidP="002847B1">
            <w:pPr>
              <w:spacing w:line="360" w:lineRule="exact"/>
              <w:jc w:val="right"/>
              <w:rPr>
                <w:rFonts w:cs="Arial"/>
                <w:snapToGrid w:val="0"/>
                <w:color w:val="000000"/>
                <w:sz w:val="16"/>
                <w:szCs w:val="16"/>
              </w:rPr>
            </w:pPr>
          </w:p>
        </w:tc>
        <w:tc>
          <w:tcPr>
            <w:tcW w:w="91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43281</w:t>
            </w:r>
          </w:p>
        </w:tc>
        <w:tc>
          <w:tcPr>
            <w:tcW w:w="992"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43282</w:t>
            </w:r>
          </w:p>
        </w:tc>
        <w:tc>
          <w:tcPr>
            <w:tcW w:w="850"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1851</w:t>
            </w:r>
          </w:p>
        </w:tc>
        <w:tc>
          <w:tcPr>
            <w:tcW w:w="838"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0,00</w:t>
            </w:r>
          </w:p>
        </w:tc>
        <w:tc>
          <w:tcPr>
            <w:tcW w:w="851"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1126,43</w:t>
            </w:r>
          </w:p>
        </w:tc>
        <w:tc>
          <w:tcPr>
            <w:tcW w:w="929" w:type="dxa"/>
          </w:tcPr>
          <w:p w:rsidR="00EA1FA5" w:rsidRPr="00EA1FA5" w:rsidRDefault="00EA1FA5" w:rsidP="002847B1">
            <w:pPr>
              <w:spacing w:line="360" w:lineRule="exact"/>
              <w:jc w:val="center"/>
              <w:rPr>
                <w:rFonts w:cs="Arial"/>
                <w:snapToGrid w:val="0"/>
                <w:color w:val="000000"/>
                <w:sz w:val="16"/>
                <w:szCs w:val="16"/>
              </w:rPr>
            </w:pPr>
            <w:r w:rsidRPr="00EA1FA5">
              <w:rPr>
                <w:rFonts w:cs="Arial"/>
                <w:snapToGrid w:val="0"/>
                <w:color w:val="000000"/>
                <w:sz w:val="16"/>
                <w:szCs w:val="16"/>
              </w:rPr>
              <w:t>60,86%</w:t>
            </w:r>
          </w:p>
        </w:tc>
      </w:tr>
    </w:tbl>
    <w:p w:rsidR="00EA1FA5" w:rsidRPr="00EA1FA5" w:rsidRDefault="00EA1FA5" w:rsidP="00EA1FA5">
      <w:pPr>
        <w:pStyle w:val="Cuadro"/>
        <w:rPr>
          <w:sz w:val="16"/>
          <w:lang w:val="es-MX" w:eastAsia="es-MX"/>
        </w:rPr>
      </w:pPr>
      <w:r>
        <w:rPr>
          <w:sz w:val="16"/>
          <w:lang w:val="es-MX" w:eastAsia="es-MX"/>
        </w:rPr>
        <w:t>Fuente: Estudio de capacidad vial aprobado el 2005 desarrollado por ECOHAB Consultores.</w:t>
      </w:r>
    </w:p>
    <w:p w:rsidR="00EA1FA5" w:rsidRDefault="00EA1FA5" w:rsidP="00566834">
      <w:pPr>
        <w:widowControl/>
        <w:autoSpaceDE w:val="0"/>
        <w:autoSpaceDN w:val="0"/>
        <w:adjustRightInd w:val="0"/>
        <w:rPr>
          <w:rFonts w:ascii="ArialNarrow" w:hAnsi="ArialNarrow" w:cs="ArialNarrow"/>
          <w:spacing w:val="0"/>
          <w:sz w:val="23"/>
          <w:szCs w:val="23"/>
          <w:lang w:val="es-MX" w:eastAsia="es-MX"/>
        </w:rPr>
      </w:pPr>
    </w:p>
    <w:p w:rsidR="0018214F" w:rsidRPr="00295D4B" w:rsidRDefault="00566834" w:rsidP="00566834">
      <w:pPr>
        <w:widowControl/>
        <w:autoSpaceDE w:val="0"/>
        <w:autoSpaceDN w:val="0"/>
        <w:adjustRightInd w:val="0"/>
        <w:rPr>
          <w:rFonts w:cs="Arial"/>
          <w:spacing w:val="0"/>
          <w:szCs w:val="24"/>
          <w:lang w:val="es-MX" w:eastAsia="es-MX"/>
        </w:rPr>
      </w:pPr>
      <w:r w:rsidRPr="00295D4B">
        <w:rPr>
          <w:rFonts w:cs="Arial"/>
          <w:spacing w:val="0"/>
          <w:szCs w:val="24"/>
          <w:lang w:val="es-MX" w:eastAsia="es-MX"/>
        </w:rPr>
        <w:t xml:space="preserve">Al observar los resultados se </w:t>
      </w:r>
      <w:r w:rsidR="00EA1FA5" w:rsidRPr="00295D4B">
        <w:rPr>
          <w:rFonts w:cs="Arial"/>
          <w:spacing w:val="0"/>
          <w:szCs w:val="24"/>
          <w:lang w:val="es-MX" w:eastAsia="es-MX"/>
        </w:rPr>
        <w:t xml:space="preserve">concluye que el </w:t>
      </w:r>
      <w:r w:rsidRPr="00295D4B">
        <w:rPr>
          <w:rFonts w:cs="Arial"/>
          <w:spacing w:val="0"/>
          <w:szCs w:val="24"/>
          <w:lang w:val="es-MX" w:eastAsia="es-MX"/>
        </w:rPr>
        <w:t>único eje que presenta problemas de saturación corresponde al eje Gran Avenida que presenta los mayores niveles de congestión, y en donde, existen arcos que superan el 100% de saturación.</w:t>
      </w:r>
      <w:r w:rsidR="00EA1FA5" w:rsidRPr="00295D4B">
        <w:rPr>
          <w:rFonts w:cs="Arial"/>
          <w:spacing w:val="0"/>
          <w:szCs w:val="24"/>
          <w:lang w:val="es-MX" w:eastAsia="es-MX"/>
        </w:rPr>
        <w:t xml:space="preserve"> Sin perjuicio de ello en las conclusiones del estudio se plantea que p</w:t>
      </w:r>
      <w:r w:rsidRPr="00295D4B">
        <w:rPr>
          <w:rFonts w:cs="Arial"/>
          <w:spacing w:val="0"/>
          <w:szCs w:val="24"/>
          <w:lang w:val="es-MX" w:eastAsia="es-MX"/>
        </w:rPr>
        <w:t>ara resolver los problemas de congestión de las vías expuestas</w:t>
      </w:r>
      <w:r w:rsidR="00EA1FA5" w:rsidRPr="00295D4B">
        <w:rPr>
          <w:rFonts w:cs="Arial"/>
          <w:spacing w:val="0"/>
          <w:szCs w:val="24"/>
          <w:lang w:val="es-MX" w:eastAsia="es-MX"/>
        </w:rPr>
        <w:t xml:space="preserve"> se debe concretar el </w:t>
      </w:r>
      <w:r w:rsidRPr="00295D4B">
        <w:rPr>
          <w:rFonts w:cs="Arial"/>
          <w:spacing w:val="0"/>
          <w:szCs w:val="24"/>
          <w:lang w:val="es-MX" w:eastAsia="es-MX"/>
        </w:rPr>
        <w:t xml:space="preserve">proyecto de mejoramiento de Gran Avenida </w:t>
      </w:r>
      <w:r w:rsidR="00EA1FA5" w:rsidRPr="00295D4B">
        <w:rPr>
          <w:rFonts w:cs="Arial"/>
          <w:spacing w:val="0"/>
          <w:szCs w:val="24"/>
          <w:lang w:val="es-MX" w:eastAsia="es-MX"/>
        </w:rPr>
        <w:t xml:space="preserve">que </w:t>
      </w:r>
      <w:r w:rsidR="0018214F" w:rsidRPr="00295D4B">
        <w:rPr>
          <w:rFonts w:cs="Arial"/>
          <w:spacing w:val="0"/>
          <w:szCs w:val="24"/>
          <w:lang w:val="es-MX" w:eastAsia="es-MX"/>
        </w:rPr>
        <w:t>conlleva a un aumento de su capacidad que resuelve las saturaciones estimadas.</w:t>
      </w:r>
    </w:p>
    <w:p w:rsidR="0018214F" w:rsidRDefault="0018214F" w:rsidP="00566834">
      <w:pPr>
        <w:widowControl/>
        <w:autoSpaceDE w:val="0"/>
        <w:autoSpaceDN w:val="0"/>
        <w:adjustRightInd w:val="0"/>
        <w:rPr>
          <w:rFonts w:ascii="ArialNarrow" w:hAnsi="ArialNarrow" w:cs="ArialNarrow"/>
          <w:spacing w:val="0"/>
          <w:sz w:val="23"/>
          <w:szCs w:val="23"/>
          <w:lang w:val="es-MX" w:eastAsia="es-MX"/>
        </w:rPr>
      </w:pPr>
    </w:p>
    <w:p w:rsidR="002E717C" w:rsidRDefault="002E717C" w:rsidP="002E717C">
      <w:pPr>
        <w:pStyle w:val="Ttulo1"/>
        <w:rPr>
          <w:lang w:val="es-CL"/>
        </w:rPr>
      </w:pPr>
      <w:r>
        <w:rPr>
          <w:lang w:val="es-CL"/>
        </w:rPr>
        <w:t>Modificacion propuesta</w:t>
      </w:r>
    </w:p>
    <w:p w:rsidR="002E717C" w:rsidRPr="005929DB" w:rsidRDefault="002E717C" w:rsidP="005929DB">
      <w:pPr>
        <w:rPr>
          <w:rFonts w:cs="Arial"/>
          <w:lang w:val="es-CL"/>
        </w:rPr>
      </w:pPr>
    </w:p>
    <w:p w:rsidR="00EC5156" w:rsidRDefault="005929DB" w:rsidP="00EC5156">
      <w:r w:rsidRPr="005929DB">
        <w:rPr>
          <w:rFonts w:cs="Arial"/>
          <w:szCs w:val="24"/>
        </w:rPr>
        <w:t xml:space="preserve">La modificación </w:t>
      </w:r>
      <w:r>
        <w:rPr>
          <w:rFonts w:cs="Arial"/>
          <w:szCs w:val="24"/>
        </w:rPr>
        <w:t xml:space="preserve">propuesta </w:t>
      </w:r>
      <w:r w:rsidRPr="005929DB">
        <w:rPr>
          <w:rFonts w:cs="Arial"/>
          <w:szCs w:val="24"/>
        </w:rPr>
        <w:t xml:space="preserve">tiene por objetivo principal, </w:t>
      </w:r>
      <w:r w:rsidR="00EC5156" w:rsidRPr="00C9149A">
        <w:rPr>
          <w:szCs w:val="24"/>
          <w:lang w:val="es-CL"/>
        </w:rPr>
        <w:t>el de señalar de manera ex</w:t>
      </w:r>
      <w:r w:rsidR="00EC5156">
        <w:rPr>
          <w:szCs w:val="24"/>
          <w:lang w:val="es-CL"/>
        </w:rPr>
        <w:t>presa</w:t>
      </w:r>
      <w:r w:rsidR="00EC5156" w:rsidRPr="00C9149A">
        <w:rPr>
          <w:szCs w:val="24"/>
          <w:lang w:val="es-CL"/>
        </w:rPr>
        <w:t xml:space="preserve"> la posibilidad de emplazar equipamientos de escala mayor a la permitida, de acuerdo a lo señalado en el Art. 2.1.36 de la Ordenanza General de Urbanismo y Construcciones, en </w:t>
      </w:r>
      <w:r w:rsidR="00EC5156">
        <w:rPr>
          <w:szCs w:val="24"/>
          <w:lang w:val="es-CL"/>
        </w:rPr>
        <w:t>atención de</w:t>
      </w:r>
      <w:r w:rsidR="00EC5156" w:rsidRPr="00C9149A">
        <w:rPr>
          <w:szCs w:val="24"/>
          <w:lang w:val="es-CL"/>
        </w:rPr>
        <w:t xml:space="preserve"> las condiciones y facultades indicadas en el mismo artículo, esto es,</w:t>
      </w:r>
      <w:r w:rsidR="00EC5156">
        <w:rPr>
          <w:szCs w:val="24"/>
          <w:lang w:val="es-CL"/>
        </w:rPr>
        <w:t xml:space="preserve"> “…</w:t>
      </w:r>
      <w:r w:rsidR="00EC5156" w:rsidRPr="00C9149A">
        <w:rPr>
          <w:szCs w:val="24"/>
          <w:lang w:val="es-CL"/>
        </w:rPr>
        <w:t xml:space="preserve"> las Municipalidades podrán aceptar equipamientos de mayor escala en vías de menor categoría, siempre que se indique en forma expresa en el Instrumento de Planificación Territorial y se encuentre avalado por el respectivo estudio de capacidad vial contenido en dicho instrumento</w:t>
      </w:r>
      <w:r w:rsidR="00697186" w:rsidRPr="00FF5376">
        <w:rPr>
          <w:rFonts w:cs="Arial"/>
          <w:spacing w:val="-2"/>
          <w:szCs w:val="24"/>
        </w:rPr>
        <w:t>.</w:t>
      </w:r>
      <w:r w:rsidR="00697186">
        <w:rPr>
          <w:rFonts w:cs="Arial"/>
          <w:spacing w:val="-2"/>
          <w:szCs w:val="24"/>
        </w:rPr>
        <w:t xml:space="preserve"> En la figura siguiente se muestra el área afecta a la modificación</w:t>
      </w:r>
      <w:r w:rsidR="00EC5156">
        <w:rPr>
          <w:rFonts w:cs="Arial"/>
          <w:spacing w:val="-2"/>
          <w:szCs w:val="24"/>
        </w:rPr>
        <w:t xml:space="preserve"> que queda definida </w:t>
      </w:r>
      <w:r w:rsidR="00EC5156" w:rsidRPr="00EC5156">
        <w:t xml:space="preserve">por las calles Soto Aguilar al sur, Ramón Subercaseaux al norte, Ricardo </w:t>
      </w:r>
      <w:r w:rsidR="00EC5156" w:rsidRPr="00705491">
        <w:t>Morales al oriente y</w:t>
      </w:r>
      <w:r w:rsidR="00705491" w:rsidRPr="00705491">
        <w:t xml:space="preserve"> Los Castaños</w:t>
      </w:r>
      <w:r w:rsidR="00EC5156" w:rsidRPr="00705491">
        <w:t xml:space="preserve"> al poniente.</w:t>
      </w:r>
    </w:p>
    <w:p w:rsidR="00D40165" w:rsidRDefault="00D40165" w:rsidP="00EC5156"/>
    <w:p w:rsidR="00E45DBA" w:rsidRDefault="00D40165" w:rsidP="00D40165">
      <w:pPr>
        <w:pStyle w:val="Titulofigura"/>
      </w:pPr>
      <w:r>
        <w:t>Localización del área afecta a la Modificación</w:t>
      </w:r>
    </w:p>
    <w:p w:rsidR="00D40165" w:rsidRDefault="00766CF4" w:rsidP="00D40165">
      <w:pPr>
        <w:pStyle w:val="Titulofigura"/>
        <w:numPr>
          <w:ilvl w:val="0"/>
          <w:numId w:val="0"/>
        </w:numPr>
        <w:ind w:left="360" w:hanging="360"/>
      </w:pPr>
      <w:r w:rsidRPr="00766CF4">
        <w:rPr>
          <w:b w:val="0"/>
          <w:noProof/>
          <w:lang w:val="es-MX" w:eastAsia="es-MX"/>
        </w:rPr>
        <w:pict>
          <v:rect id="_x0000_s1038" style="position:absolute;left:0;text-align:left;margin-left:221.6pt;margin-top:65.45pt;width:25.15pt;height:47.55pt;rotation:894594fd;z-index:251657728" filled="f" strokecolor="red" strokeweight="1.75pt"/>
        </w:pict>
      </w:r>
      <w:r w:rsidR="003616F6">
        <w:rPr>
          <w:b w:val="0"/>
          <w:noProof/>
          <w:lang w:val="es-ES"/>
        </w:rPr>
        <w:drawing>
          <wp:inline distT="0" distB="0" distL="0" distR="0">
            <wp:extent cx="3533775" cy="25050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7031" t="30063" r="27094" b="15948"/>
                    <a:stretch>
                      <a:fillRect/>
                    </a:stretch>
                  </pic:blipFill>
                  <pic:spPr bwMode="auto">
                    <a:xfrm>
                      <a:off x="0" y="0"/>
                      <a:ext cx="3533775" cy="2505075"/>
                    </a:xfrm>
                    <a:prstGeom prst="rect">
                      <a:avLst/>
                    </a:prstGeom>
                    <a:noFill/>
                    <a:ln w="9525">
                      <a:noFill/>
                      <a:miter lim="800000"/>
                      <a:headEnd/>
                      <a:tailEnd/>
                    </a:ln>
                  </pic:spPr>
                </pic:pic>
              </a:graphicData>
            </a:graphic>
          </wp:inline>
        </w:drawing>
      </w:r>
    </w:p>
    <w:p w:rsidR="00D40165" w:rsidRDefault="00D40165" w:rsidP="00D40165">
      <w:pPr>
        <w:pStyle w:val="Titulofigura"/>
        <w:numPr>
          <w:ilvl w:val="0"/>
          <w:numId w:val="0"/>
        </w:numPr>
        <w:ind w:left="360" w:hanging="360"/>
      </w:pPr>
    </w:p>
    <w:p w:rsidR="00EC5156" w:rsidRDefault="00EC5156" w:rsidP="00E45DBA">
      <w:r>
        <w:lastRenderedPageBreak/>
        <w:t xml:space="preserve">La presente modificación se orienta a potenciar el desarrollo de actividades de educación superior en la comuna, y especialmente en el sector de El Llano, fomentando así la riqueza y mixtura de actividades en la comuna y el barrio, mediante la implantación de equipamientos de educación de carácter intercomunal. Este barrio, paulatinamente se ha </w:t>
      </w:r>
      <w:r w:rsidRPr="00705491">
        <w:t>ido conformando como núcleo de servicios y equipamientos, con e</w:t>
      </w:r>
      <w:r w:rsidR="00705491" w:rsidRPr="00705491">
        <w:t>l</w:t>
      </w:r>
      <w:r w:rsidRPr="00705491">
        <w:t xml:space="preserve"> hospital Barros Luco, El Conservador de Bienes </w:t>
      </w:r>
      <w:r w:rsidR="00705491" w:rsidRPr="00705491">
        <w:t>R</w:t>
      </w:r>
      <w:r w:rsidRPr="00705491">
        <w:t>aíces, El SII, Registro Civil, entre otros, todos los cuales han</w:t>
      </w:r>
      <w:r>
        <w:t xml:space="preserve"> revitalizado el barrio y han sabido convivir de manera correcta con el uso residencial del sector. </w:t>
      </w:r>
    </w:p>
    <w:p w:rsidR="005929DB" w:rsidRDefault="005929DB" w:rsidP="005929DB">
      <w:pPr>
        <w:rPr>
          <w:rFonts w:cs="Arial"/>
          <w:spacing w:val="-2"/>
          <w:szCs w:val="24"/>
        </w:rPr>
      </w:pPr>
    </w:p>
    <w:p w:rsidR="00104945" w:rsidRPr="00104945" w:rsidRDefault="005929DB" w:rsidP="00104945">
      <w:pPr>
        <w:widowControl/>
        <w:autoSpaceDE w:val="0"/>
        <w:adjustRightInd w:val="0"/>
        <w:rPr>
          <w:i/>
          <w:szCs w:val="24"/>
        </w:rPr>
      </w:pPr>
      <w:r w:rsidRPr="00A24CF9">
        <w:rPr>
          <w:rFonts w:cs="Arial"/>
          <w:szCs w:val="24"/>
        </w:rPr>
        <w:t xml:space="preserve">La modificación consiste </w:t>
      </w:r>
      <w:r w:rsidR="00A24CF9" w:rsidRPr="00A24CF9">
        <w:t xml:space="preserve">en señalar explícitamente el polígono en el que se pueda contemplar la excepción que, conforme a lo dispuesto en el Art. 2.1.36 de la OGUC, posibilita el emplazamiento de </w:t>
      </w:r>
      <w:r w:rsidR="00295D4B">
        <w:t>E</w:t>
      </w:r>
      <w:r w:rsidR="00A24CF9" w:rsidRPr="00104945">
        <w:t xml:space="preserve">quipamiento </w:t>
      </w:r>
      <w:r w:rsidR="00295D4B">
        <w:t>M</w:t>
      </w:r>
      <w:r w:rsidR="00A24CF9" w:rsidRPr="00104945">
        <w:t>ediano</w:t>
      </w:r>
      <w:r w:rsidR="00295D4B" w:rsidRPr="00295D4B">
        <w:rPr>
          <w:color w:val="000000"/>
          <w:szCs w:val="24"/>
        </w:rPr>
        <w:t xml:space="preserve">: </w:t>
      </w:r>
      <w:r w:rsidR="00104945" w:rsidRPr="00295D4B">
        <w:rPr>
          <w:color w:val="000000"/>
          <w:szCs w:val="24"/>
        </w:rPr>
        <w:t>“El que contempla una carga de ocupación superior a 1.000 y hasta 6.000 personas y sólo se podrá ubicar en predios que enfrenten vías colectoras, troncales o expresas”.</w:t>
      </w:r>
      <w:r w:rsidR="00295D4B" w:rsidRPr="00295D4B">
        <w:rPr>
          <w:rStyle w:val="Refdenotaalfinal"/>
          <w:color w:val="000000"/>
          <w:szCs w:val="24"/>
        </w:rPr>
        <w:endnoteReference w:id="1"/>
      </w:r>
    </w:p>
    <w:p w:rsidR="005929DB" w:rsidRPr="00EC79EA" w:rsidRDefault="005929DB" w:rsidP="00A24CF9">
      <w:pPr>
        <w:rPr>
          <w:rFonts w:cs="Arial"/>
          <w:b/>
          <w:szCs w:val="24"/>
          <w:highlight w:val="yellow"/>
        </w:rPr>
      </w:pPr>
    </w:p>
    <w:p w:rsidR="005929DB" w:rsidRPr="00EC79EA" w:rsidRDefault="005929DB" w:rsidP="005929DB">
      <w:pPr>
        <w:rPr>
          <w:rFonts w:cs="Arial"/>
          <w:b/>
          <w:szCs w:val="24"/>
          <w:highlight w:val="yellow"/>
        </w:rPr>
      </w:pPr>
    </w:p>
    <w:p w:rsidR="00BC6D68" w:rsidRPr="00A24CF9" w:rsidRDefault="00BC6D68" w:rsidP="00BC6D68">
      <w:pPr>
        <w:pStyle w:val="Ttulo2"/>
        <w:rPr>
          <w:lang w:val="es-CL"/>
        </w:rPr>
      </w:pPr>
      <w:r w:rsidRPr="00A24CF9">
        <w:rPr>
          <w:lang w:val="es-CL"/>
        </w:rPr>
        <w:t>Normativa actual</w:t>
      </w:r>
    </w:p>
    <w:p w:rsidR="00BC6D68" w:rsidRDefault="00BC6D68" w:rsidP="00BC6D68">
      <w:pPr>
        <w:pStyle w:val="Standard"/>
        <w:tabs>
          <w:tab w:val="left" w:pos="993"/>
        </w:tabs>
        <w:ind w:left="567"/>
        <w:jc w:val="both"/>
        <w:rPr>
          <w:highlight w:val="yellow"/>
        </w:rPr>
      </w:pPr>
    </w:p>
    <w:p w:rsidR="00A24CF9" w:rsidRDefault="00A24CF9" w:rsidP="00A24CF9">
      <w:pPr>
        <w:rPr>
          <w:szCs w:val="24"/>
        </w:rPr>
      </w:pPr>
      <w:r>
        <w:t xml:space="preserve">El Plan regulador Comunal de San Miguel </w:t>
      </w:r>
      <w:r w:rsidRPr="00B77E6C">
        <w:t xml:space="preserve">señala que los terrenos considerados para esta modificación corresponden </w:t>
      </w:r>
      <w:r>
        <w:t xml:space="preserve">a la </w:t>
      </w:r>
      <w:r>
        <w:rPr>
          <w:spacing w:val="-2"/>
          <w:szCs w:val="24"/>
        </w:rPr>
        <w:t>Zona ZU-2, Residencial de Renovación</w:t>
      </w:r>
      <w:r>
        <w:t xml:space="preserve">. </w:t>
      </w:r>
      <w:r>
        <w:rPr>
          <w:szCs w:val="24"/>
        </w:rPr>
        <w:t>Al respecto, la normativa actual señala lo siguiente:</w:t>
      </w:r>
    </w:p>
    <w:p w:rsidR="00A24CF9" w:rsidRPr="00620CA1" w:rsidRDefault="00A24CF9" w:rsidP="00A24CF9">
      <w:pPr>
        <w:pStyle w:val="Standard"/>
        <w:ind w:hanging="1"/>
        <w:jc w:val="both"/>
        <w:rPr>
          <w:sz w:val="24"/>
          <w:szCs w:val="24"/>
          <w:lang w:val="es-CL"/>
        </w:rPr>
      </w:pPr>
    </w:p>
    <w:p w:rsidR="00A24CF9" w:rsidRPr="00A24CF9" w:rsidRDefault="00A24CF9" w:rsidP="00A24CF9">
      <w:pPr>
        <w:pStyle w:val="Standard"/>
        <w:ind w:hanging="1"/>
        <w:jc w:val="both"/>
        <w:rPr>
          <w:rFonts w:ascii="Arial" w:hAnsi="Arial" w:cs="Arial"/>
          <w:sz w:val="24"/>
          <w:szCs w:val="24"/>
          <w:u w:val="single"/>
          <w:lang w:val="es-CL"/>
        </w:rPr>
      </w:pPr>
      <w:r w:rsidRPr="00A24CF9">
        <w:rPr>
          <w:rFonts w:ascii="Arial" w:hAnsi="Arial" w:cs="Arial"/>
          <w:sz w:val="24"/>
          <w:szCs w:val="24"/>
          <w:u w:val="single"/>
          <w:lang w:val="es-CL"/>
        </w:rPr>
        <w:t>USOS PERMITIDOS:</w:t>
      </w:r>
    </w:p>
    <w:p w:rsidR="00A24CF9" w:rsidRPr="00A24CF9" w:rsidRDefault="00A24CF9" w:rsidP="00A24CF9">
      <w:pPr>
        <w:pStyle w:val="Standard"/>
        <w:ind w:hanging="1"/>
        <w:jc w:val="both"/>
        <w:rPr>
          <w:rFonts w:ascii="Arial" w:hAnsi="Arial" w:cs="Arial"/>
          <w:sz w:val="24"/>
          <w:szCs w:val="24"/>
          <w:lang w:val="es-CL"/>
        </w:rPr>
      </w:pPr>
    </w:p>
    <w:p w:rsidR="00A24CF9" w:rsidRPr="00A24CF9" w:rsidRDefault="00A24CF9" w:rsidP="00A24CF9">
      <w:pPr>
        <w:pStyle w:val="Standard"/>
        <w:numPr>
          <w:ilvl w:val="3"/>
          <w:numId w:val="30"/>
        </w:numPr>
        <w:ind w:left="1068"/>
        <w:jc w:val="both"/>
        <w:rPr>
          <w:rFonts w:ascii="Arial" w:hAnsi="Arial" w:cs="Arial"/>
          <w:sz w:val="24"/>
          <w:szCs w:val="24"/>
          <w:lang w:val="es-CL"/>
        </w:rPr>
      </w:pPr>
      <w:r w:rsidRPr="00A24CF9">
        <w:rPr>
          <w:rFonts w:ascii="Arial" w:hAnsi="Arial" w:cs="Arial"/>
          <w:sz w:val="24"/>
          <w:szCs w:val="24"/>
          <w:lang w:val="es-CL"/>
        </w:rPr>
        <w:t>RESIDENCIAL: Vivienda, sin perjuicio de lo cual, se autoriza la implantación de comercio en el 1er. piso. Aquellos usos definidos en el Art. 2.1.25. de la O.G.U.C. y los complementos a vivienda establecidos en el Art. 2.1.26. de la O.G.U.C.</w:t>
      </w:r>
    </w:p>
    <w:p w:rsidR="00A24CF9" w:rsidRPr="00A24CF9" w:rsidRDefault="00A24CF9" w:rsidP="00A24CF9">
      <w:pPr>
        <w:pStyle w:val="Standard"/>
        <w:jc w:val="both"/>
        <w:rPr>
          <w:rFonts w:ascii="Arial" w:hAnsi="Arial" w:cs="Arial"/>
          <w:sz w:val="24"/>
          <w:szCs w:val="24"/>
          <w:lang w:val="es-CL"/>
        </w:rPr>
      </w:pPr>
    </w:p>
    <w:p w:rsidR="00A24CF9" w:rsidRPr="00A24CF9" w:rsidRDefault="00A24CF9" w:rsidP="00A24CF9">
      <w:pPr>
        <w:pStyle w:val="Standard"/>
        <w:numPr>
          <w:ilvl w:val="3"/>
          <w:numId w:val="30"/>
        </w:numPr>
        <w:ind w:left="1068"/>
        <w:jc w:val="both"/>
        <w:rPr>
          <w:rFonts w:ascii="Arial" w:hAnsi="Arial" w:cs="Arial"/>
          <w:sz w:val="24"/>
          <w:szCs w:val="24"/>
          <w:lang w:val="es-CL"/>
        </w:rPr>
      </w:pPr>
      <w:r w:rsidRPr="00A24CF9">
        <w:rPr>
          <w:rFonts w:ascii="Arial" w:hAnsi="Arial" w:cs="Arial"/>
          <w:sz w:val="24"/>
          <w:szCs w:val="24"/>
          <w:lang w:val="es-CL"/>
        </w:rPr>
        <w:t>EQUIPAMIENTO: Comercio, culto y cultura, deportes, educación, esparcimiento, salud, seguridad, servicios, social. Cuando los servicios de carácter artesanal sean calificadas como “actividades productivas” no corresponderán a equipamiento de servicios, sin perjuicio de lo señalado en el Art. 2.1.28. de la O.G.U.C.</w:t>
      </w:r>
    </w:p>
    <w:p w:rsidR="00A24CF9" w:rsidRPr="00A24CF9" w:rsidRDefault="00A24CF9" w:rsidP="00A24CF9">
      <w:pPr>
        <w:pStyle w:val="Standard"/>
        <w:jc w:val="both"/>
        <w:rPr>
          <w:rFonts w:ascii="Arial" w:hAnsi="Arial" w:cs="Arial"/>
          <w:sz w:val="24"/>
          <w:szCs w:val="24"/>
          <w:lang w:val="es-CL"/>
        </w:rPr>
      </w:pPr>
    </w:p>
    <w:p w:rsidR="00A24CF9" w:rsidRPr="00A24CF9" w:rsidRDefault="00A24CF9" w:rsidP="00A24CF9">
      <w:pPr>
        <w:pStyle w:val="Standard"/>
        <w:numPr>
          <w:ilvl w:val="3"/>
          <w:numId w:val="30"/>
        </w:numPr>
        <w:ind w:left="1068"/>
        <w:jc w:val="both"/>
        <w:rPr>
          <w:rFonts w:ascii="Arial" w:hAnsi="Arial" w:cs="Arial"/>
          <w:sz w:val="24"/>
          <w:szCs w:val="24"/>
          <w:lang w:val="es-CL"/>
        </w:rPr>
      </w:pPr>
      <w:r w:rsidRPr="00A24CF9">
        <w:rPr>
          <w:rFonts w:ascii="Arial" w:hAnsi="Arial" w:cs="Arial"/>
          <w:sz w:val="24"/>
          <w:szCs w:val="24"/>
          <w:lang w:val="es-CL"/>
        </w:rPr>
        <w:t>INFRAESTRUCTURA: De transporte, como vías y estaciones de metro, estacionamientos. Sanitaria, como canales de riego e Infraestructura Energética, como ductos de distribución de gas.</w:t>
      </w:r>
    </w:p>
    <w:p w:rsidR="00A24CF9" w:rsidRPr="00A24CF9" w:rsidRDefault="00A24CF9" w:rsidP="00A24CF9">
      <w:pPr>
        <w:pStyle w:val="Standard"/>
        <w:jc w:val="both"/>
        <w:rPr>
          <w:rFonts w:ascii="Arial" w:hAnsi="Arial" w:cs="Arial"/>
          <w:sz w:val="24"/>
          <w:szCs w:val="24"/>
          <w:lang w:val="es-CL"/>
        </w:rPr>
      </w:pPr>
    </w:p>
    <w:p w:rsidR="00A24CF9" w:rsidRPr="00A24CF9" w:rsidRDefault="00A24CF9" w:rsidP="00A24CF9">
      <w:pPr>
        <w:pStyle w:val="Standard"/>
        <w:numPr>
          <w:ilvl w:val="3"/>
          <w:numId w:val="30"/>
        </w:numPr>
        <w:ind w:left="1068"/>
        <w:jc w:val="both"/>
        <w:rPr>
          <w:rFonts w:ascii="Arial" w:hAnsi="Arial" w:cs="Arial"/>
          <w:sz w:val="24"/>
          <w:szCs w:val="24"/>
          <w:lang w:val="es-CL"/>
        </w:rPr>
      </w:pPr>
      <w:r w:rsidRPr="00A24CF9">
        <w:rPr>
          <w:rFonts w:ascii="Arial" w:hAnsi="Arial" w:cs="Arial"/>
          <w:sz w:val="24"/>
          <w:szCs w:val="24"/>
          <w:lang w:val="es-CL"/>
        </w:rPr>
        <w:t>ÁREAS VERDES: Bandejones y platabandas, parque, plaza, jardines.</w:t>
      </w:r>
    </w:p>
    <w:p w:rsidR="00A24CF9" w:rsidRPr="00A24CF9" w:rsidRDefault="00A24CF9" w:rsidP="00A24CF9">
      <w:pPr>
        <w:pStyle w:val="Standard"/>
        <w:jc w:val="both"/>
        <w:rPr>
          <w:rFonts w:ascii="Arial" w:hAnsi="Arial" w:cs="Arial"/>
          <w:sz w:val="24"/>
          <w:szCs w:val="24"/>
          <w:lang w:val="es-CL"/>
        </w:rPr>
      </w:pPr>
    </w:p>
    <w:p w:rsidR="00A24CF9" w:rsidRPr="00A24CF9" w:rsidRDefault="00A24CF9" w:rsidP="00A24CF9">
      <w:pPr>
        <w:pStyle w:val="Standard"/>
        <w:ind w:hanging="1"/>
        <w:jc w:val="both"/>
        <w:rPr>
          <w:rFonts w:ascii="Arial" w:hAnsi="Arial" w:cs="Arial"/>
          <w:sz w:val="24"/>
          <w:szCs w:val="24"/>
          <w:u w:val="single"/>
          <w:lang w:val="es-CL"/>
        </w:rPr>
      </w:pPr>
      <w:r>
        <w:rPr>
          <w:rFonts w:ascii="Arial" w:hAnsi="Arial" w:cs="Arial"/>
          <w:sz w:val="24"/>
          <w:szCs w:val="24"/>
          <w:u w:val="single"/>
          <w:lang w:val="es-CL"/>
        </w:rPr>
        <w:br w:type="page"/>
      </w:r>
      <w:r w:rsidRPr="00A24CF9">
        <w:rPr>
          <w:rFonts w:ascii="Arial" w:hAnsi="Arial" w:cs="Arial"/>
          <w:sz w:val="24"/>
          <w:szCs w:val="24"/>
          <w:u w:val="single"/>
          <w:lang w:val="es-CL"/>
        </w:rPr>
        <w:lastRenderedPageBreak/>
        <w:t>USOS PROHIBIDOS:</w:t>
      </w:r>
    </w:p>
    <w:p w:rsidR="00A24CF9" w:rsidRPr="00A24CF9" w:rsidRDefault="00A24CF9" w:rsidP="00A24CF9">
      <w:pPr>
        <w:pStyle w:val="Standard"/>
        <w:ind w:hanging="1"/>
        <w:jc w:val="both"/>
        <w:rPr>
          <w:rFonts w:ascii="Arial" w:hAnsi="Arial" w:cs="Arial"/>
          <w:sz w:val="24"/>
          <w:szCs w:val="24"/>
          <w:lang w:val="es-CL"/>
        </w:rPr>
      </w:pPr>
    </w:p>
    <w:p w:rsidR="00A24CF9" w:rsidRPr="00A24CF9" w:rsidRDefault="00A24CF9" w:rsidP="00A24CF9">
      <w:pPr>
        <w:pStyle w:val="Standard"/>
        <w:numPr>
          <w:ilvl w:val="0"/>
          <w:numId w:val="26"/>
        </w:numPr>
        <w:ind w:hanging="1"/>
        <w:jc w:val="both"/>
        <w:rPr>
          <w:rFonts w:ascii="Arial" w:hAnsi="Arial" w:cs="Arial"/>
          <w:sz w:val="24"/>
          <w:szCs w:val="24"/>
          <w:lang w:val="es-CL"/>
        </w:rPr>
      </w:pPr>
      <w:r w:rsidRPr="00A24CF9">
        <w:rPr>
          <w:rFonts w:ascii="Arial" w:hAnsi="Arial" w:cs="Arial"/>
          <w:sz w:val="24"/>
          <w:szCs w:val="24"/>
          <w:lang w:val="es-CL"/>
        </w:rPr>
        <w:t>Equipamiento científico correspondiente a Centro de investigación científica y tecnológica.</w:t>
      </w:r>
    </w:p>
    <w:p w:rsidR="00A24CF9" w:rsidRPr="00A24CF9" w:rsidRDefault="00A24CF9" w:rsidP="00A24CF9">
      <w:pPr>
        <w:pStyle w:val="Standard"/>
        <w:numPr>
          <w:ilvl w:val="0"/>
          <w:numId w:val="26"/>
        </w:numPr>
        <w:ind w:hanging="1"/>
        <w:jc w:val="both"/>
        <w:rPr>
          <w:rFonts w:ascii="Arial" w:hAnsi="Arial" w:cs="Arial"/>
          <w:sz w:val="24"/>
          <w:szCs w:val="24"/>
          <w:lang w:val="es-CL"/>
        </w:rPr>
      </w:pPr>
      <w:r w:rsidRPr="00A24CF9">
        <w:rPr>
          <w:rFonts w:ascii="Arial" w:hAnsi="Arial" w:cs="Arial"/>
          <w:sz w:val="24"/>
          <w:szCs w:val="24"/>
          <w:lang w:val="es-CL"/>
        </w:rPr>
        <w:t>Equipamiento de comercio correspondiente a discotecas, empresa de control de peso de vehículos de carga, estación de servicio, grandes tiendas, mercados, multitiendas, supermercados.</w:t>
      </w:r>
    </w:p>
    <w:p w:rsidR="00A24CF9" w:rsidRPr="00A24CF9" w:rsidRDefault="00A24CF9" w:rsidP="00A24CF9">
      <w:pPr>
        <w:pStyle w:val="Standard"/>
        <w:numPr>
          <w:ilvl w:val="0"/>
          <w:numId w:val="26"/>
        </w:numPr>
        <w:ind w:hanging="1"/>
        <w:jc w:val="both"/>
        <w:rPr>
          <w:rFonts w:ascii="Arial" w:hAnsi="Arial" w:cs="Arial"/>
          <w:sz w:val="24"/>
          <w:szCs w:val="24"/>
          <w:lang w:val="es-CL"/>
        </w:rPr>
      </w:pPr>
      <w:r w:rsidRPr="00A24CF9">
        <w:rPr>
          <w:rFonts w:ascii="Arial" w:hAnsi="Arial" w:cs="Arial"/>
          <w:sz w:val="24"/>
          <w:szCs w:val="24"/>
          <w:lang w:val="es-CL"/>
        </w:rPr>
        <w:t>Equipamiento de culto y cultura correspondientes a canal de televisión, radioemisoras.</w:t>
      </w:r>
    </w:p>
    <w:p w:rsidR="00A24CF9" w:rsidRPr="00A24CF9" w:rsidRDefault="00A24CF9" w:rsidP="00A24CF9">
      <w:pPr>
        <w:pStyle w:val="Standard"/>
        <w:numPr>
          <w:ilvl w:val="0"/>
          <w:numId w:val="26"/>
        </w:numPr>
        <w:ind w:hanging="1"/>
        <w:jc w:val="both"/>
        <w:rPr>
          <w:rFonts w:ascii="Arial" w:hAnsi="Arial" w:cs="Arial"/>
          <w:sz w:val="24"/>
          <w:szCs w:val="24"/>
          <w:lang w:val="es-CL"/>
        </w:rPr>
      </w:pPr>
      <w:r w:rsidRPr="00A24CF9">
        <w:rPr>
          <w:rFonts w:ascii="Arial" w:hAnsi="Arial" w:cs="Arial"/>
          <w:sz w:val="24"/>
          <w:szCs w:val="24"/>
          <w:lang w:val="es-CL"/>
        </w:rPr>
        <w:t>Equipamiento de deporte correspondiente a estadio.</w:t>
      </w:r>
    </w:p>
    <w:p w:rsidR="00A24CF9" w:rsidRPr="00A24CF9" w:rsidRDefault="00A24CF9" w:rsidP="00A24CF9">
      <w:pPr>
        <w:pStyle w:val="Standard"/>
        <w:numPr>
          <w:ilvl w:val="0"/>
          <w:numId w:val="26"/>
        </w:numPr>
        <w:ind w:hanging="1"/>
        <w:jc w:val="both"/>
        <w:rPr>
          <w:rFonts w:ascii="Arial" w:hAnsi="Arial" w:cs="Arial"/>
          <w:sz w:val="24"/>
          <w:szCs w:val="24"/>
          <w:lang w:val="es-CL"/>
        </w:rPr>
      </w:pPr>
      <w:r w:rsidRPr="00A24CF9">
        <w:rPr>
          <w:rFonts w:ascii="Arial" w:hAnsi="Arial" w:cs="Arial"/>
          <w:sz w:val="24"/>
          <w:szCs w:val="24"/>
          <w:lang w:val="es-CL"/>
        </w:rPr>
        <w:t>Equipamiento de esparcimiento correspondiente a autocine, cabaret, circo, club de campo, hotel, hostería, motel, parque de diversiones, pista de espectáculos, quinta de recreo, sala de eventos, salón de baile, salón de juegos, zona de picnic y zoológicos.</w:t>
      </w:r>
    </w:p>
    <w:p w:rsidR="00A24CF9" w:rsidRPr="00A24CF9" w:rsidRDefault="00A24CF9" w:rsidP="00A24CF9">
      <w:pPr>
        <w:pStyle w:val="Standard"/>
        <w:numPr>
          <w:ilvl w:val="0"/>
          <w:numId w:val="26"/>
        </w:numPr>
        <w:ind w:hanging="1"/>
        <w:jc w:val="both"/>
        <w:rPr>
          <w:rFonts w:ascii="Arial" w:hAnsi="Arial" w:cs="Arial"/>
          <w:sz w:val="24"/>
          <w:szCs w:val="24"/>
          <w:lang w:val="es-CL"/>
        </w:rPr>
      </w:pPr>
      <w:r w:rsidRPr="00A24CF9">
        <w:rPr>
          <w:rFonts w:ascii="Arial" w:hAnsi="Arial" w:cs="Arial"/>
          <w:sz w:val="24"/>
          <w:szCs w:val="24"/>
          <w:lang w:val="es-CL"/>
        </w:rPr>
        <w:t>Equipamiento de salud correspondiente a casa de reposo, clínica de recuperación médica, clínica psiquiátrica, hogar de ancianos, hospital.</w:t>
      </w:r>
    </w:p>
    <w:p w:rsidR="00A24CF9" w:rsidRPr="00A24CF9" w:rsidRDefault="00A24CF9" w:rsidP="00A24CF9">
      <w:pPr>
        <w:pStyle w:val="Standard"/>
        <w:numPr>
          <w:ilvl w:val="0"/>
          <w:numId w:val="26"/>
        </w:numPr>
        <w:ind w:hanging="1"/>
        <w:jc w:val="both"/>
        <w:rPr>
          <w:rFonts w:ascii="Arial" w:hAnsi="Arial" w:cs="Arial"/>
          <w:sz w:val="24"/>
          <w:szCs w:val="24"/>
          <w:lang w:val="es-CL"/>
        </w:rPr>
      </w:pPr>
      <w:r w:rsidRPr="00A24CF9">
        <w:rPr>
          <w:rFonts w:ascii="Arial" w:hAnsi="Arial" w:cs="Arial"/>
          <w:sz w:val="24"/>
          <w:szCs w:val="24"/>
          <w:lang w:val="es-CL"/>
        </w:rPr>
        <w:t>Equipamiento de seguridad correspondiente a cárceles y centros de detención.</w:t>
      </w:r>
    </w:p>
    <w:p w:rsidR="00A24CF9" w:rsidRPr="00A24CF9" w:rsidRDefault="00A24CF9" w:rsidP="00A24CF9">
      <w:pPr>
        <w:pStyle w:val="Standard"/>
        <w:numPr>
          <w:ilvl w:val="0"/>
          <w:numId w:val="26"/>
        </w:numPr>
        <w:ind w:hanging="1"/>
        <w:jc w:val="both"/>
        <w:rPr>
          <w:rFonts w:ascii="Arial" w:hAnsi="Arial" w:cs="Arial"/>
          <w:sz w:val="24"/>
          <w:szCs w:val="24"/>
          <w:lang w:val="es-CL"/>
        </w:rPr>
      </w:pPr>
      <w:r w:rsidRPr="00A24CF9">
        <w:rPr>
          <w:rFonts w:ascii="Arial" w:hAnsi="Arial" w:cs="Arial"/>
          <w:sz w:val="24"/>
          <w:szCs w:val="24"/>
          <w:lang w:val="es-CL"/>
        </w:rPr>
        <w:t>Equipamiento de servicios correspondiente a banco e institución financiera, asociación de fondos de pensiones, notario.</w:t>
      </w:r>
    </w:p>
    <w:p w:rsidR="00A24CF9" w:rsidRPr="00A24CF9" w:rsidRDefault="00A24CF9" w:rsidP="00A24CF9">
      <w:pPr>
        <w:pStyle w:val="Standard"/>
        <w:numPr>
          <w:ilvl w:val="0"/>
          <w:numId w:val="26"/>
        </w:numPr>
        <w:ind w:hanging="1"/>
        <w:jc w:val="both"/>
        <w:rPr>
          <w:rFonts w:ascii="Arial" w:hAnsi="Arial" w:cs="Arial"/>
          <w:sz w:val="24"/>
          <w:szCs w:val="24"/>
          <w:lang w:val="es-CL"/>
        </w:rPr>
      </w:pPr>
      <w:r w:rsidRPr="00A24CF9">
        <w:rPr>
          <w:rFonts w:ascii="Arial" w:hAnsi="Arial" w:cs="Arial"/>
          <w:sz w:val="24"/>
          <w:szCs w:val="24"/>
          <w:lang w:val="es-CL"/>
        </w:rPr>
        <w:t>Equipamiento social correspondiente a sede asociación política, sede gremial, sede sindical.</w:t>
      </w:r>
    </w:p>
    <w:p w:rsidR="00A24CF9" w:rsidRPr="00A24CF9" w:rsidRDefault="00A24CF9" w:rsidP="00A24CF9">
      <w:pPr>
        <w:pStyle w:val="Standard"/>
        <w:numPr>
          <w:ilvl w:val="0"/>
          <w:numId w:val="26"/>
        </w:numPr>
        <w:ind w:hanging="1"/>
        <w:jc w:val="both"/>
        <w:rPr>
          <w:rFonts w:ascii="Arial" w:hAnsi="Arial" w:cs="Arial"/>
          <w:sz w:val="24"/>
          <w:szCs w:val="24"/>
          <w:lang w:val="es-CL"/>
        </w:rPr>
      </w:pPr>
      <w:r w:rsidRPr="00A24CF9">
        <w:rPr>
          <w:rFonts w:ascii="Arial" w:hAnsi="Arial" w:cs="Arial"/>
          <w:sz w:val="24"/>
          <w:szCs w:val="24"/>
          <w:lang w:val="es-CL"/>
        </w:rPr>
        <w:t>Actividades productivas, exceptuando las señaladas en el art. 2.1.26. de la O.G.U.C.</w:t>
      </w:r>
    </w:p>
    <w:p w:rsidR="00A24CF9" w:rsidRPr="00A24CF9" w:rsidRDefault="00A24CF9" w:rsidP="00A24CF9">
      <w:pPr>
        <w:pStyle w:val="Standard"/>
        <w:numPr>
          <w:ilvl w:val="0"/>
          <w:numId w:val="26"/>
        </w:numPr>
        <w:ind w:hanging="1"/>
        <w:jc w:val="both"/>
        <w:rPr>
          <w:rFonts w:ascii="Arial" w:hAnsi="Arial" w:cs="Arial"/>
          <w:sz w:val="24"/>
          <w:szCs w:val="24"/>
          <w:lang w:val="es-CL"/>
        </w:rPr>
      </w:pPr>
      <w:r w:rsidRPr="00A24CF9">
        <w:rPr>
          <w:rFonts w:ascii="Arial" w:hAnsi="Arial" w:cs="Arial"/>
          <w:sz w:val="24"/>
          <w:szCs w:val="24"/>
          <w:lang w:val="es-CL"/>
        </w:rPr>
        <w:t>Actividades de servicio de carácter similar al industrial.</w:t>
      </w:r>
    </w:p>
    <w:p w:rsidR="00A24CF9" w:rsidRPr="00A24CF9" w:rsidRDefault="00A24CF9" w:rsidP="00A24CF9">
      <w:pPr>
        <w:pStyle w:val="Standard"/>
        <w:numPr>
          <w:ilvl w:val="0"/>
          <w:numId w:val="26"/>
        </w:numPr>
        <w:ind w:hanging="1"/>
        <w:jc w:val="both"/>
        <w:rPr>
          <w:rFonts w:ascii="Arial" w:hAnsi="Arial" w:cs="Arial"/>
          <w:sz w:val="24"/>
          <w:szCs w:val="24"/>
          <w:lang w:val="es-CL"/>
        </w:rPr>
      </w:pPr>
      <w:r w:rsidRPr="00A24CF9">
        <w:rPr>
          <w:rFonts w:ascii="Arial" w:hAnsi="Arial" w:cs="Arial"/>
          <w:sz w:val="24"/>
          <w:szCs w:val="24"/>
          <w:lang w:val="es-CL"/>
        </w:rPr>
        <w:t>Infraestructura correspondiente a disposición transitoria o final de residuos sólidos, estación ferroviaria, instalaciones de telecomunicaciones, instalaciones de televisión, plantas de tratamiento de aguas servidas, rodoviarios y terminales de locomoción colectiva urbana, terminales de taxis y radiotaxis, terminales de transporte terrestre.</w:t>
      </w:r>
    </w:p>
    <w:p w:rsidR="00A24CF9" w:rsidRPr="00A24CF9" w:rsidRDefault="00A24CF9" w:rsidP="00A24CF9">
      <w:pPr>
        <w:rPr>
          <w:rFonts w:cs="Arial"/>
          <w:lang w:val="es-CL"/>
        </w:rPr>
      </w:pPr>
    </w:p>
    <w:p w:rsidR="00A24CF9" w:rsidRPr="00A24CF9" w:rsidRDefault="00A24CF9" w:rsidP="00A24CF9">
      <w:pPr>
        <w:rPr>
          <w:rFonts w:cs="Arial"/>
          <w:lang w:val="es-CL"/>
        </w:rPr>
      </w:pPr>
      <w:r w:rsidRPr="00A24CF9">
        <w:rPr>
          <w:rFonts w:cs="Arial"/>
        </w:rPr>
        <w:t>CUADRO DE NORMAS URBANÍSTICAS:</w:t>
      </w:r>
    </w:p>
    <w:p w:rsidR="00A24CF9" w:rsidRDefault="00A24CF9" w:rsidP="00A24CF9">
      <w:pPr>
        <w:pStyle w:val="Standard"/>
        <w:ind w:hanging="1"/>
        <w:jc w:val="both"/>
        <w:rPr>
          <w:rFonts w:ascii="Arial" w:hAnsi="Arial" w:cs="Arial"/>
          <w:sz w:val="24"/>
          <w:szCs w:val="24"/>
          <w:lang w:val="es-CL"/>
        </w:rPr>
      </w:pPr>
    </w:p>
    <w:p w:rsidR="00A24CF9" w:rsidRPr="00A24CF9" w:rsidRDefault="003616F6" w:rsidP="00A24CF9">
      <w:pPr>
        <w:pStyle w:val="Standard"/>
        <w:ind w:hanging="1"/>
        <w:jc w:val="both"/>
        <w:rPr>
          <w:rFonts w:ascii="Arial" w:hAnsi="Arial" w:cs="Arial"/>
          <w:sz w:val="24"/>
          <w:szCs w:val="24"/>
          <w:lang w:val="es-CL"/>
        </w:rPr>
      </w:pPr>
      <w:r>
        <w:rPr>
          <w:rFonts w:ascii="Arial" w:hAnsi="Arial" w:cs="Arial"/>
          <w:noProof/>
          <w:szCs w:val="24"/>
          <w:lang w:eastAsia="es-ES"/>
        </w:rPr>
        <w:drawing>
          <wp:inline distT="0" distB="0" distL="0" distR="0">
            <wp:extent cx="5610225" cy="148590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a:stretch>
                      <a:fillRect/>
                    </a:stretch>
                  </pic:blipFill>
                  <pic:spPr bwMode="auto">
                    <a:xfrm>
                      <a:off x="0" y="0"/>
                      <a:ext cx="5610225" cy="1485900"/>
                    </a:xfrm>
                    <a:prstGeom prst="rect">
                      <a:avLst/>
                    </a:prstGeom>
                    <a:noFill/>
                    <a:ln w="9525">
                      <a:noFill/>
                      <a:miter lim="800000"/>
                      <a:headEnd/>
                      <a:tailEnd/>
                    </a:ln>
                  </pic:spPr>
                </pic:pic>
              </a:graphicData>
            </a:graphic>
          </wp:inline>
        </w:drawing>
      </w:r>
    </w:p>
    <w:p w:rsidR="00A24CF9" w:rsidRPr="00A24CF9" w:rsidRDefault="00A24CF9" w:rsidP="00A24CF9">
      <w:pPr>
        <w:pStyle w:val="Standard"/>
        <w:ind w:hanging="1"/>
        <w:jc w:val="both"/>
        <w:rPr>
          <w:rFonts w:ascii="Arial" w:hAnsi="Arial" w:cs="Arial"/>
          <w:sz w:val="24"/>
          <w:szCs w:val="24"/>
          <w:lang w:val="es-CL"/>
        </w:rPr>
      </w:pPr>
    </w:p>
    <w:p w:rsidR="00A24CF9" w:rsidRPr="00A24CF9" w:rsidRDefault="00A24CF9" w:rsidP="00A24CF9">
      <w:pPr>
        <w:pStyle w:val="Standard"/>
        <w:ind w:hanging="1"/>
        <w:jc w:val="both"/>
        <w:rPr>
          <w:rFonts w:ascii="Arial" w:hAnsi="Arial" w:cs="Arial"/>
          <w:sz w:val="24"/>
          <w:szCs w:val="24"/>
          <w:u w:val="single"/>
          <w:lang w:val="es-CL"/>
        </w:rPr>
      </w:pPr>
      <w:r>
        <w:rPr>
          <w:rFonts w:ascii="Arial" w:hAnsi="Arial" w:cs="Arial"/>
          <w:sz w:val="24"/>
          <w:szCs w:val="24"/>
          <w:u w:val="single"/>
          <w:lang w:val="es-CL"/>
        </w:rPr>
        <w:br w:type="page"/>
      </w:r>
      <w:r w:rsidRPr="00A24CF9">
        <w:rPr>
          <w:rFonts w:ascii="Arial" w:hAnsi="Arial" w:cs="Arial"/>
          <w:sz w:val="24"/>
          <w:szCs w:val="24"/>
          <w:u w:val="single"/>
          <w:lang w:val="es-CL"/>
        </w:rPr>
        <w:lastRenderedPageBreak/>
        <w:t>DISPOSICIONES COMPLEMENTARIAS:</w:t>
      </w:r>
    </w:p>
    <w:p w:rsidR="00A24CF9" w:rsidRPr="00A24CF9" w:rsidRDefault="00A24CF9" w:rsidP="00A24CF9">
      <w:pPr>
        <w:pStyle w:val="Standard"/>
        <w:ind w:hanging="1"/>
        <w:jc w:val="both"/>
        <w:rPr>
          <w:rFonts w:ascii="Arial" w:hAnsi="Arial" w:cs="Arial"/>
          <w:sz w:val="24"/>
          <w:szCs w:val="24"/>
          <w:lang w:val="es-CL"/>
        </w:rPr>
      </w:pPr>
    </w:p>
    <w:p w:rsidR="00A24CF9" w:rsidRPr="00A24CF9" w:rsidRDefault="00A24CF9" w:rsidP="00A24CF9">
      <w:pPr>
        <w:pStyle w:val="Standard"/>
        <w:numPr>
          <w:ilvl w:val="0"/>
          <w:numId w:val="26"/>
        </w:numPr>
        <w:jc w:val="both"/>
        <w:rPr>
          <w:rFonts w:ascii="Arial" w:hAnsi="Arial" w:cs="Arial"/>
          <w:sz w:val="24"/>
          <w:szCs w:val="24"/>
          <w:lang w:val="es-CL"/>
        </w:rPr>
      </w:pPr>
      <w:r w:rsidRPr="00A24CF9">
        <w:rPr>
          <w:rFonts w:ascii="Arial" w:hAnsi="Arial" w:cs="Arial"/>
          <w:sz w:val="24"/>
          <w:szCs w:val="24"/>
          <w:lang w:val="es-CL"/>
        </w:rPr>
        <w:t>Densidad bruta mínima: 400 Hab./Há.</w:t>
      </w:r>
    </w:p>
    <w:p w:rsidR="00A24CF9" w:rsidRPr="00A24CF9" w:rsidRDefault="00A24CF9" w:rsidP="00A24CF9">
      <w:pPr>
        <w:pStyle w:val="Standard"/>
        <w:numPr>
          <w:ilvl w:val="0"/>
          <w:numId w:val="26"/>
        </w:numPr>
        <w:jc w:val="both"/>
        <w:rPr>
          <w:rFonts w:ascii="Arial" w:hAnsi="Arial" w:cs="Arial"/>
          <w:sz w:val="24"/>
          <w:szCs w:val="24"/>
          <w:lang w:val="es-CL"/>
        </w:rPr>
      </w:pPr>
      <w:r w:rsidRPr="00A24CF9">
        <w:rPr>
          <w:rFonts w:ascii="Arial" w:hAnsi="Arial" w:cs="Arial"/>
          <w:sz w:val="24"/>
          <w:szCs w:val="24"/>
          <w:lang w:val="es-CL"/>
        </w:rPr>
        <w:t>Densidad neta mínima: 500 Hab./Há.</w:t>
      </w:r>
    </w:p>
    <w:p w:rsidR="00A24CF9" w:rsidRPr="00A24CF9" w:rsidRDefault="00A24CF9" w:rsidP="00A24CF9">
      <w:pPr>
        <w:pStyle w:val="Standard"/>
        <w:numPr>
          <w:ilvl w:val="0"/>
          <w:numId w:val="26"/>
        </w:numPr>
        <w:jc w:val="both"/>
        <w:rPr>
          <w:rFonts w:ascii="Arial" w:hAnsi="Arial" w:cs="Arial"/>
          <w:sz w:val="24"/>
          <w:szCs w:val="24"/>
          <w:lang w:val="es-CL"/>
        </w:rPr>
      </w:pPr>
      <w:r w:rsidRPr="00A24CF9">
        <w:rPr>
          <w:rFonts w:ascii="Arial" w:hAnsi="Arial" w:cs="Arial"/>
          <w:sz w:val="24"/>
          <w:szCs w:val="24"/>
          <w:lang w:val="es-CL"/>
        </w:rPr>
        <w:t>Los antejardines no pueden utilizarse para estacionamiento de vehículos.</w:t>
      </w:r>
    </w:p>
    <w:p w:rsidR="00A24CF9" w:rsidRPr="00A24CF9" w:rsidRDefault="00A24CF9" w:rsidP="00A24CF9">
      <w:pPr>
        <w:pStyle w:val="Standard"/>
        <w:numPr>
          <w:ilvl w:val="0"/>
          <w:numId w:val="26"/>
        </w:numPr>
        <w:jc w:val="both"/>
        <w:rPr>
          <w:rFonts w:ascii="Arial" w:hAnsi="Arial" w:cs="Arial"/>
          <w:sz w:val="24"/>
          <w:szCs w:val="24"/>
          <w:lang w:val="es-CL"/>
        </w:rPr>
      </w:pPr>
      <w:r w:rsidRPr="00A24CF9">
        <w:rPr>
          <w:rFonts w:ascii="Arial" w:hAnsi="Arial" w:cs="Arial"/>
          <w:sz w:val="24"/>
          <w:szCs w:val="24"/>
          <w:lang w:val="es-CL"/>
        </w:rPr>
        <w:t>Los estacionamientos a nivel de terreno sólo podrán ocupar el 20% del área libre o, de requerirse mayor porcentaje deberá destinar al menos un 30% de la superficie predial exclusivamente a prados y jardines incluyendo el área de antejardín.</w:t>
      </w:r>
    </w:p>
    <w:p w:rsidR="00A24CF9" w:rsidRPr="00A24CF9" w:rsidRDefault="00A24CF9" w:rsidP="00A24CF9">
      <w:pPr>
        <w:pStyle w:val="Standard"/>
        <w:numPr>
          <w:ilvl w:val="0"/>
          <w:numId w:val="26"/>
        </w:numPr>
        <w:jc w:val="both"/>
        <w:rPr>
          <w:rFonts w:ascii="Arial" w:hAnsi="Arial" w:cs="Arial"/>
          <w:sz w:val="24"/>
          <w:szCs w:val="24"/>
          <w:lang w:val="es-CL"/>
        </w:rPr>
      </w:pPr>
      <w:r w:rsidRPr="00A24CF9">
        <w:rPr>
          <w:rFonts w:ascii="Arial" w:hAnsi="Arial" w:cs="Arial"/>
          <w:sz w:val="24"/>
          <w:szCs w:val="24"/>
          <w:lang w:val="es-CL"/>
        </w:rPr>
        <w:t>Los estacionamientos en subterráneo sólo podrán ocupar el 70% de la superficie del terreno.</w:t>
      </w:r>
    </w:p>
    <w:p w:rsidR="00A24CF9" w:rsidRPr="00A24CF9" w:rsidRDefault="00A24CF9" w:rsidP="00A24CF9">
      <w:pPr>
        <w:pStyle w:val="Standard"/>
        <w:numPr>
          <w:ilvl w:val="0"/>
          <w:numId w:val="26"/>
        </w:numPr>
        <w:jc w:val="both"/>
        <w:rPr>
          <w:rFonts w:ascii="Arial" w:hAnsi="Arial" w:cs="Arial"/>
          <w:sz w:val="24"/>
          <w:szCs w:val="24"/>
          <w:lang w:val="es-CL"/>
        </w:rPr>
      </w:pPr>
      <w:r w:rsidRPr="00A24CF9">
        <w:rPr>
          <w:rFonts w:ascii="Arial" w:hAnsi="Arial" w:cs="Arial"/>
          <w:sz w:val="24"/>
          <w:szCs w:val="24"/>
          <w:lang w:val="es-CL"/>
        </w:rPr>
        <w:t>El equipamiento comercial de esta zona deberá tener una superficie mínima de 200 m2 construidos y cumplir la norma de estacionamientos señalada en el artículo 14 de esta ordenanza.</w:t>
      </w:r>
    </w:p>
    <w:p w:rsidR="00A24CF9" w:rsidRPr="00A24CF9" w:rsidRDefault="00A24CF9" w:rsidP="00A24CF9">
      <w:pPr>
        <w:pStyle w:val="Standard"/>
        <w:numPr>
          <w:ilvl w:val="0"/>
          <w:numId w:val="26"/>
        </w:numPr>
        <w:jc w:val="both"/>
        <w:rPr>
          <w:rFonts w:ascii="Arial" w:hAnsi="Arial" w:cs="Arial"/>
          <w:sz w:val="24"/>
          <w:szCs w:val="24"/>
          <w:lang w:val="es-CL"/>
        </w:rPr>
      </w:pPr>
      <w:r w:rsidRPr="00A24CF9">
        <w:rPr>
          <w:rFonts w:ascii="Arial" w:hAnsi="Arial" w:cs="Arial"/>
          <w:sz w:val="24"/>
          <w:szCs w:val="24"/>
          <w:lang w:val="es-CL"/>
        </w:rPr>
        <w:t>Las construcciones pareadas no podrán sobrepasar los 9 m de altura medidos en el deslinde con los predios vecinos y su profundidad máxima será de 15 m o el equivalente al 40% del fondo del predio cuando la profundidad de este sea inferior a 25 m. Sobre esta altura el sistema de agrupamiento es aislado.</w:t>
      </w:r>
    </w:p>
    <w:p w:rsidR="00A24CF9" w:rsidRPr="00A24CF9" w:rsidRDefault="00A24CF9" w:rsidP="00A24CF9">
      <w:pPr>
        <w:pStyle w:val="Standard"/>
        <w:numPr>
          <w:ilvl w:val="0"/>
          <w:numId w:val="26"/>
        </w:numPr>
        <w:jc w:val="both"/>
        <w:rPr>
          <w:rFonts w:ascii="Arial" w:hAnsi="Arial" w:cs="Arial"/>
          <w:sz w:val="24"/>
          <w:szCs w:val="24"/>
          <w:lang w:val="es-CL"/>
        </w:rPr>
      </w:pPr>
      <w:r w:rsidRPr="00A24CF9">
        <w:rPr>
          <w:rFonts w:ascii="Arial" w:hAnsi="Arial" w:cs="Arial"/>
          <w:sz w:val="24"/>
          <w:szCs w:val="24"/>
          <w:lang w:val="es-CL"/>
        </w:rPr>
        <w:t>Se aplicará, para todos los sistemas de agrupamiento, cuando sea el caso, el inciso tercero del Art. 8º de la presente Ordenanza.</w:t>
      </w:r>
    </w:p>
    <w:p w:rsidR="00A24CF9" w:rsidRPr="00A24CF9" w:rsidRDefault="00A24CF9" w:rsidP="00A24CF9">
      <w:pPr>
        <w:pStyle w:val="Standard"/>
        <w:tabs>
          <w:tab w:val="left" w:pos="0"/>
        </w:tabs>
        <w:jc w:val="both"/>
        <w:rPr>
          <w:rFonts w:ascii="Arial" w:hAnsi="Arial" w:cs="Arial"/>
          <w:sz w:val="24"/>
          <w:szCs w:val="24"/>
          <w:lang w:val="es-CL"/>
        </w:rPr>
      </w:pPr>
    </w:p>
    <w:p w:rsidR="00A24CF9" w:rsidRPr="00A24CF9" w:rsidRDefault="00A24CF9" w:rsidP="00A24CF9">
      <w:pPr>
        <w:pStyle w:val="Standard"/>
        <w:tabs>
          <w:tab w:val="left" w:pos="0"/>
        </w:tabs>
        <w:jc w:val="both"/>
        <w:rPr>
          <w:rFonts w:ascii="Arial" w:hAnsi="Arial" w:cs="Arial"/>
          <w:sz w:val="24"/>
          <w:szCs w:val="24"/>
          <w:lang w:val="es-CL"/>
        </w:rPr>
      </w:pPr>
      <w:r w:rsidRPr="00A24CF9">
        <w:rPr>
          <w:rFonts w:ascii="Arial" w:hAnsi="Arial" w:cs="Arial"/>
          <w:sz w:val="24"/>
          <w:szCs w:val="24"/>
          <w:lang w:val="es-CL"/>
        </w:rPr>
        <w:t>En esta zona, se aplica la restricción de altura de edificación correspondiente a áreas de aproximación de aeródromo, indicada en el Art.26° de esta Ordenanza</w:t>
      </w:r>
    </w:p>
    <w:p w:rsidR="00BC6D68" w:rsidRPr="00EC79EA" w:rsidRDefault="00BC6D68" w:rsidP="00BC6D68">
      <w:pPr>
        <w:pStyle w:val="Standard"/>
        <w:ind w:left="927"/>
        <w:jc w:val="both"/>
        <w:rPr>
          <w:highlight w:val="yellow"/>
        </w:rPr>
      </w:pPr>
    </w:p>
    <w:p w:rsidR="00BC6D68" w:rsidRPr="004B4E11" w:rsidRDefault="00BC6D68" w:rsidP="00BC6D68">
      <w:pPr>
        <w:pStyle w:val="Ttulo2"/>
        <w:rPr>
          <w:lang w:val="es-CL"/>
        </w:rPr>
      </w:pPr>
      <w:r w:rsidRPr="004B4E11">
        <w:rPr>
          <w:lang w:val="es-CL"/>
        </w:rPr>
        <w:t>Normativa propuesta:</w:t>
      </w:r>
    </w:p>
    <w:p w:rsidR="00BC6D68" w:rsidRPr="002727AA" w:rsidRDefault="00BC6D68" w:rsidP="00BC6D68">
      <w:pPr>
        <w:pStyle w:val="Standard"/>
        <w:ind w:left="927"/>
        <w:jc w:val="both"/>
        <w:rPr>
          <w:sz w:val="24"/>
          <w:szCs w:val="24"/>
        </w:rPr>
      </w:pPr>
    </w:p>
    <w:p w:rsidR="004B4E11" w:rsidRDefault="004B4E11" w:rsidP="004B4E11">
      <w:pPr>
        <w:pStyle w:val="Standard"/>
        <w:ind w:hanging="1"/>
        <w:jc w:val="both"/>
        <w:rPr>
          <w:rFonts w:ascii="Arial" w:hAnsi="Arial" w:cs="Arial"/>
          <w:sz w:val="24"/>
          <w:szCs w:val="24"/>
          <w:lang w:val="es-CL"/>
        </w:rPr>
      </w:pPr>
      <w:r>
        <w:rPr>
          <w:rFonts w:ascii="Arial" w:hAnsi="Arial" w:cs="Arial"/>
          <w:sz w:val="24"/>
          <w:szCs w:val="24"/>
          <w:lang w:val="es-CL"/>
        </w:rPr>
        <w:t>L</w:t>
      </w:r>
      <w:r w:rsidRPr="004B4E11">
        <w:rPr>
          <w:rFonts w:ascii="Arial" w:hAnsi="Arial" w:cs="Arial"/>
          <w:sz w:val="24"/>
          <w:szCs w:val="24"/>
          <w:lang w:val="es-CL"/>
        </w:rPr>
        <w:t>a modificación propuesta sigue inscribiéndose dentro de los principios orientadores del Plan y no altera su sentido original. Se trata de una modificación menor y en ningún caso se trata de una modificación sustancial</w:t>
      </w:r>
      <w:r>
        <w:rPr>
          <w:rFonts w:ascii="Arial" w:hAnsi="Arial" w:cs="Arial"/>
          <w:sz w:val="24"/>
          <w:szCs w:val="24"/>
          <w:lang w:val="es-CL"/>
        </w:rPr>
        <w:t xml:space="preserve">, ya que el área afecta a la modificación es </w:t>
      </w:r>
      <w:r w:rsidRPr="001E3DC2">
        <w:rPr>
          <w:rFonts w:ascii="Arial" w:hAnsi="Arial" w:cs="Arial"/>
          <w:sz w:val="24"/>
          <w:szCs w:val="24"/>
          <w:lang w:val="es-CL"/>
        </w:rPr>
        <w:t xml:space="preserve">de </w:t>
      </w:r>
      <w:r w:rsidR="001E3DC2" w:rsidRPr="001E3DC2">
        <w:rPr>
          <w:rFonts w:ascii="Arial" w:hAnsi="Arial" w:cs="Arial"/>
          <w:sz w:val="24"/>
          <w:szCs w:val="24"/>
          <w:lang w:val="es-CL"/>
        </w:rPr>
        <w:t>22</w:t>
      </w:r>
      <w:r w:rsidRPr="001E3DC2">
        <w:rPr>
          <w:rFonts w:ascii="Arial" w:hAnsi="Arial" w:cs="Arial"/>
          <w:sz w:val="24"/>
          <w:szCs w:val="24"/>
          <w:lang w:val="es-CL"/>
        </w:rPr>
        <w:t>.000 m2.</w:t>
      </w:r>
      <w:r>
        <w:rPr>
          <w:rFonts w:ascii="Arial" w:hAnsi="Arial" w:cs="Arial"/>
          <w:sz w:val="24"/>
          <w:szCs w:val="24"/>
          <w:lang w:val="es-CL"/>
        </w:rPr>
        <w:t xml:space="preserve"> </w:t>
      </w:r>
    </w:p>
    <w:p w:rsidR="004B4E11" w:rsidRPr="004B4E11" w:rsidRDefault="004B4E11" w:rsidP="004B4E11">
      <w:pPr>
        <w:pStyle w:val="Standard"/>
        <w:ind w:hanging="1"/>
        <w:jc w:val="both"/>
        <w:rPr>
          <w:rFonts w:ascii="Arial" w:hAnsi="Arial" w:cs="Arial"/>
          <w:sz w:val="24"/>
          <w:szCs w:val="24"/>
          <w:lang w:val="es-CL"/>
        </w:rPr>
      </w:pPr>
    </w:p>
    <w:p w:rsidR="004B4E11" w:rsidRDefault="004B4E11" w:rsidP="004B4E11">
      <w:pPr>
        <w:pStyle w:val="Standard"/>
        <w:jc w:val="both"/>
        <w:rPr>
          <w:rFonts w:ascii="Arial" w:hAnsi="Arial" w:cs="Arial"/>
          <w:sz w:val="24"/>
          <w:szCs w:val="24"/>
          <w:lang w:val="es-CL"/>
        </w:rPr>
      </w:pPr>
      <w:r w:rsidRPr="004B4E11">
        <w:rPr>
          <w:rFonts w:ascii="Arial" w:hAnsi="Arial" w:cs="Arial"/>
          <w:sz w:val="24"/>
          <w:szCs w:val="24"/>
          <w:lang w:val="es-CL"/>
        </w:rPr>
        <w:t>El nuevo inciso que se agregará a la definición de la zona ZU-2 Residencial de Renovación, del artículo 25º, capítulo V, de la Ordenanza Local del PRC de San Miguel del año 2005 dirá lo siguiente:</w:t>
      </w:r>
    </w:p>
    <w:p w:rsidR="00AB6A74" w:rsidRDefault="00AB6A74" w:rsidP="004B4E11">
      <w:pPr>
        <w:pStyle w:val="Standard"/>
        <w:jc w:val="both"/>
        <w:rPr>
          <w:rFonts w:ascii="Arial" w:hAnsi="Arial" w:cs="Arial"/>
          <w:sz w:val="24"/>
          <w:szCs w:val="24"/>
          <w:lang w:val="es-CL"/>
        </w:rPr>
      </w:pPr>
    </w:p>
    <w:p w:rsidR="00AB6A74" w:rsidRPr="00AB6A74" w:rsidRDefault="00AB6A74" w:rsidP="00AB6A74">
      <w:pPr>
        <w:pStyle w:val="Standard"/>
        <w:jc w:val="both"/>
        <w:rPr>
          <w:rFonts w:ascii="Arial" w:hAnsi="Arial" w:cs="Arial"/>
          <w:b/>
          <w:sz w:val="24"/>
          <w:szCs w:val="24"/>
          <w:u w:val="single"/>
        </w:rPr>
      </w:pPr>
      <w:r w:rsidRPr="00AB6A74">
        <w:rPr>
          <w:rFonts w:ascii="Arial" w:hAnsi="Arial" w:cs="Arial"/>
          <w:b/>
          <w:sz w:val="24"/>
          <w:szCs w:val="24"/>
          <w:u w:val="single"/>
        </w:rPr>
        <w:t>Zona de Equipamiento de Educación Superior:</w:t>
      </w:r>
    </w:p>
    <w:p w:rsidR="00AB6A74" w:rsidRDefault="00AB6A74" w:rsidP="00AB6A74">
      <w:pPr>
        <w:pStyle w:val="Standard"/>
        <w:jc w:val="both"/>
        <w:rPr>
          <w:rFonts w:ascii="Arial" w:hAnsi="Arial" w:cs="Arial"/>
          <w:sz w:val="24"/>
          <w:szCs w:val="24"/>
          <w:lang w:val="es-CL"/>
        </w:rPr>
      </w:pPr>
      <w:r w:rsidRPr="00AB6A74">
        <w:rPr>
          <w:rFonts w:ascii="Arial" w:hAnsi="Arial" w:cs="Arial"/>
          <w:sz w:val="24"/>
          <w:szCs w:val="24"/>
        </w:rPr>
        <w:t xml:space="preserve">Conforme con las facultades delegadas por la Ordenanza General de Urbanismo y Construcciones, en el polígono delimitado por las calles Soto Aguilar al sur, Ramón Subercaseaux al norte, Ricardo Morales al oriente y </w:t>
      </w:r>
      <w:r w:rsidR="008C40B2">
        <w:rPr>
          <w:rFonts w:ascii="Arial" w:hAnsi="Arial" w:cs="Arial"/>
          <w:sz w:val="24"/>
          <w:szCs w:val="24"/>
        </w:rPr>
        <w:t>Los Castaños</w:t>
      </w:r>
      <w:r w:rsidRPr="00AB6A74">
        <w:rPr>
          <w:rFonts w:ascii="Arial" w:hAnsi="Arial" w:cs="Arial"/>
          <w:sz w:val="24"/>
          <w:szCs w:val="24"/>
        </w:rPr>
        <w:t xml:space="preserve"> al poniente, se podrán emplazar equipamientos medianos de educación superior en predios que enfrentan vías de servicio, colectoras, troncales o expresas.</w:t>
      </w:r>
    </w:p>
    <w:p w:rsidR="00AB6A74" w:rsidRDefault="00AB6A74" w:rsidP="004B4E11">
      <w:pPr>
        <w:pStyle w:val="Standard"/>
        <w:jc w:val="both"/>
        <w:rPr>
          <w:rFonts w:ascii="Arial" w:hAnsi="Arial" w:cs="Arial"/>
          <w:sz w:val="24"/>
          <w:szCs w:val="24"/>
          <w:lang w:val="es-CL"/>
        </w:rPr>
      </w:pPr>
    </w:p>
    <w:p w:rsidR="004B4E11" w:rsidRPr="000B7D53" w:rsidRDefault="004B4E11" w:rsidP="004B4E11">
      <w:pPr>
        <w:pStyle w:val="Standard"/>
        <w:jc w:val="both"/>
        <w:rPr>
          <w:sz w:val="18"/>
          <w:lang w:val="pt-BR"/>
        </w:rPr>
      </w:pPr>
    </w:p>
    <w:p w:rsidR="004B4E11" w:rsidRDefault="004B4E11" w:rsidP="004B4E11">
      <w:pPr>
        <w:pStyle w:val="Standard"/>
        <w:jc w:val="both"/>
        <w:rPr>
          <w:sz w:val="16"/>
          <w:lang w:val="pt-BR"/>
        </w:rPr>
      </w:pPr>
    </w:p>
    <w:p w:rsidR="005929DB" w:rsidRDefault="005929DB" w:rsidP="002E717C">
      <w:pPr>
        <w:rPr>
          <w:lang w:val="es-CL"/>
        </w:rPr>
      </w:pPr>
    </w:p>
    <w:p w:rsidR="002E717C" w:rsidRDefault="004B4E11" w:rsidP="002E717C">
      <w:pPr>
        <w:pStyle w:val="Ttulo1"/>
        <w:rPr>
          <w:lang w:val="es-CL"/>
        </w:rPr>
      </w:pPr>
      <w:r>
        <w:rPr>
          <w:lang w:val="es-CL"/>
        </w:rPr>
        <w:br w:type="page"/>
      </w:r>
      <w:r w:rsidR="002E717C">
        <w:rPr>
          <w:lang w:val="es-CL"/>
        </w:rPr>
        <w:lastRenderedPageBreak/>
        <w:t>analisis de factibilidad vial</w:t>
      </w:r>
    </w:p>
    <w:p w:rsidR="002E717C" w:rsidRDefault="002E717C" w:rsidP="002E717C">
      <w:pPr>
        <w:rPr>
          <w:lang w:val="es-CL"/>
        </w:rPr>
      </w:pPr>
    </w:p>
    <w:p w:rsidR="00147C75" w:rsidRPr="00EC79EA" w:rsidRDefault="00147C75" w:rsidP="002E717C">
      <w:pPr>
        <w:rPr>
          <w:lang w:val="es-CL"/>
        </w:rPr>
      </w:pPr>
      <w:r w:rsidRPr="00EC79EA">
        <w:rPr>
          <w:lang w:val="es-CL"/>
        </w:rPr>
        <w:t>El análisis de factibilidad vial se realiza tomando como punto de partida el Estudio de Capacidad Vial aprobado junto con el PRC vigente. Luego, lo que interesa demostrar es que la modificación propuesta no incide en las conclusiones del referido estudio. Para ello, se estiman los viajes generados por la modificación y se evalúa como estos inciden en las vías estructurantes cercanas a la modificación.</w:t>
      </w:r>
      <w:r w:rsidR="004B4E11">
        <w:rPr>
          <w:lang w:val="es-CL"/>
        </w:rPr>
        <w:t xml:space="preserve"> Cabe mencionar que la modificación propuesta disminuirá los viajes generados, ya que modifica el uso residencial por educacional, pero aumentarán los viajes atraídos a la zona.</w:t>
      </w:r>
    </w:p>
    <w:p w:rsidR="00147C75" w:rsidRPr="00502C05" w:rsidRDefault="00147C75" w:rsidP="002E717C">
      <w:pPr>
        <w:rPr>
          <w:highlight w:val="yellow"/>
          <w:lang w:val="es-CL"/>
        </w:rPr>
      </w:pPr>
    </w:p>
    <w:p w:rsidR="00506FDA" w:rsidRPr="00EC79EA" w:rsidRDefault="00506FDA" w:rsidP="00506FDA">
      <w:pPr>
        <w:pStyle w:val="Ttulo2"/>
        <w:rPr>
          <w:lang w:val="es-CL"/>
        </w:rPr>
      </w:pPr>
      <w:r w:rsidRPr="00EC79EA">
        <w:rPr>
          <w:lang w:val="es-CL"/>
        </w:rPr>
        <w:t>Zonificación ECV</w:t>
      </w:r>
    </w:p>
    <w:p w:rsidR="00506FDA" w:rsidRPr="00EC79EA" w:rsidRDefault="00506FDA" w:rsidP="00506FDA">
      <w:pPr>
        <w:rPr>
          <w:lang w:val="es-CL"/>
        </w:rPr>
      </w:pPr>
    </w:p>
    <w:p w:rsidR="00EC79EA" w:rsidRDefault="00506FDA" w:rsidP="00EC79EA">
      <w:pPr>
        <w:rPr>
          <w:lang w:val="es-CL"/>
        </w:rPr>
      </w:pPr>
      <w:r w:rsidRPr="00EC79EA">
        <w:rPr>
          <w:lang w:val="es-CL"/>
        </w:rPr>
        <w:t>La zonificación utilizada en el ECV del PRC vigente corresponde a la misma utilizada en ESTRAUS y se aprecia en la figura siguiente. En la figura se observa que la zona a la que pertenece el área afecta a la modificación es la 29</w:t>
      </w:r>
      <w:r w:rsidR="00EC79EA">
        <w:rPr>
          <w:lang w:val="es-CL"/>
        </w:rPr>
        <w:t>8</w:t>
      </w:r>
      <w:r w:rsidRPr="00EC79EA">
        <w:rPr>
          <w:lang w:val="es-CL"/>
        </w:rPr>
        <w:t xml:space="preserve">, cuya cantidad de viajes generados es de </w:t>
      </w:r>
      <w:r w:rsidR="00EC79EA">
        <w:rPr>
          <w:lang w:val="es-CL"/>
        </w:rPr>
        <w:t>1708</w:t>
      </w:r>
      <w:r w:rsidR="00FC3394" w:rsidRPr="00EC79EA">
        <w:rPr>
          <w:lang w:val="es-CL"/>
        </w:rPr>
        <w:t xml:space="preserve"> viajes en el periodo de la punta mañana.</w:t>
      </w:r>
    </w:p>
    <w:p w:rsidR="00FA5552" w:rsidRDefault="00FA5552" w:rsidP="00EC79EA">
      <w:pPr>
        <w:rPr>
          <w:lang w:val="es-CL"/>
        </w:rPr>
      </w:pPr>
    </w:p>
    <w:p w:rsidR="00506FDA" w:rsidRPr="00EC79EA" w:rsidRDefault="00506FDA" w:rsidP="00EC79EA">
      <w:pPr>
        <w:pStyle w:val="Titulofigura"/>
        <w:rPr>
          <w:lang w:val="es-CL"/>
        </w:rPr>
      </w:pPr>
      <w:r w:rsidRPr="00EC79EA">
        <w:rPr>
          <w:lang w:val="es-CL"/>
        </w:rPr>
        <w:t>Zonificación ECV</w:t>
      </w:r>
    </w:p>
    <w:p w:rsidR="00506FDA" w:rsidRPr="00502C05" w:rsidRDefault="003616F6" w:rsidP="00506FDA">
      <w:pPr>
        <w:pStyle w:val="Titulofigura"/>
        <w:numPr>
          <w:ilvl w:val="0"/>
          <w:numId w:val="0"/>
        </w:numPr>
        <w:ind w:left="360" w:hanging="360"/>
        <w:rPr>
          <w:highlight w:val="yellow"/>
          <w:lang w:val="es-CL"/>
        </w:rPr>
      </w:pPr>
      <w:r>
        <w:rPr>
          <w:noProof/>
          <w:lang w:val="es-ES"/>
        </w:rPr>
        <w:drawing>
          <wp:inline distT="0" distB="0" distL="0" distR="0">
            <wp:extent cx="2352675" cy="26574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352675" cy="2657475"/>
                    </a:xfrm>
                    <a:prstGeom prst="rect">
                      <a:avLst/>
                    </a:prstGeom>
                    <a:noFill/>
                    <a:ln w="9525">
                      <a:noFill/>
                      <a:miter lim="800000"/>
                      <a:headEnd/>
                      <a:tailEnd/>
                    </a:ln>
                  </pic:spPr>
                </pic:pic>
              </a:graphicData>
            </a:graphic>
          </wp:inline>
        </w:drawing>
      </w:r>
    </w:p>
    <w:p w:rsidR="00506FDA" w:rsidRPr="00502C05" w:rsidRDefault="00506FDA" w:rsidP="00506FDA">
      <w:pPr>
        <w:pStyle w:val="Titulofigura"/>
        <w:numPr>
          <w:ilvl w:val="0"/>
          <w:numId w:val="0"/>
        </w:numPr>
        <w:ind w:left="360" w:hanging="360"/>
        <w:rPr>
          <w:highlight w:val="yellow"/>
          <w:lang w:val="es-CL"/>
        </w:rPr>
      </w:pPr>
    </w:p>
    <w:p w:rsidR="00506FDA" w:rsidRPr="00EC79EA" w:rsidRDefault="00FC3394" w:rsidP="00FC3394">
      <w:pPr>
        <w:pStyle w:val="Ttulo2"/>
        <w:rPr>
          <w:lang w:val="es-CL"/>
        </w:rPr>
      </w:pPr>
      <w:r w:rsidRPr="00EC79EA">
        <w:rPr>
          <w:lang w:val="es-CL"/>
        </w:rPr>
        <w:t>Asignación de flujos en vías pertenecientes al área de influencia de la modificación.</w:t>
      </w:r>
    </w:p>
    <w:p w:rsidR="00FC3394" w:rsidRPr="00EC79EA" w:rsidRDefault="00FC3394" w:rsidP="00FC3394">
      <w:pPr>
        <w:rPr>
          <w:lang w:val="es-CL"/>
        </w:rPr>
      </w:pPr>
    </w:p>
    <w:p w:rsidR="00FC3394" w:rsidRPr="00C22BF2" w:rsidRDefault="00FC3394" w:rsidP="00FC3394">
      <w:pPr>
        <w:rPr>
          <w:lang w:val="es-CL"/>
        </w:rPr>
      </w:pPr>
      <w:r w:rsidRPr="00C22BF2">
        <w:rPr>
          <w:lang w:val="es-CL"/>
        </w:rPr>
        <w:t xml:space="preserve">Las vías estructurantes de la comuna pertenecientes al área de influencia directa de la modificación corresponden a </w:t>
      </w:r>
      <w:r w:rsidR="00C22BF2">
        <w:rPr>
          <w:lang w:val="es-CL"/>
        </w:rPr>
        <w:t>Fernando Lazcano</w:t>
      </w:r>
      <w:r w:rsidRPr="00C22BF2">
        <w:rPr>
          <w:lang w:val="es-CL"/>
        </w:rPr>
        <w:t xml:space="preserve"> por el norte, S</w:t>
      </w:r>
      <w:r w:rsidR="009D724D">
        <w:rPr>
          <w:lang w:val="es-CL"/>
        </w:rPr>
        <w:t>alesianos</w:t>
      </w:r>
      <w:r w:rsidR="00C22BF2">
        <w:rPr>
          <w:lang w:val="es-CL"/>
        </w:rPr>
        <w:t xml:space="preserve"> por el Sur, Gran Avenida </w:t>
      </w:r>
      <w:r w:rsidRPr="00C22BF2">
        <w:rPr>
          <w:lang w:val="es-CL"/>
        </w:rPr>
        <w:t xml:space="preserve">por el oriente y </w:t>
      </w:r>
      <w:r w:rsidR="00C22BF2">
        <w:rPr>
          <w:lang w:val="es-CL"/>
        </w:rPr>
        <w:t xml:space="preserve">San Ignacio </w:t>
      </w:r>
      <w:r w:rsidRPr="00C22BF2">
        <w:rPr>
          <w:lang w:val="es-CL"/>
        </w:rPr>
        <w:t>por el poniente (ver figura siguiente)</w:t>
      </w:r>
    </w:p>
    <w:p w:rsidR="00FC3394" w:rsidRPr="00C22BF2" w:rsidRDefault="00FC3394" w:rsidP="00FC3394">
      <w:pPr>
        <w:rPr>
          <w:lang w:val="es-CL"/>
        </w:rPr>
      </w:pPr>
    </w:p>
    <w:p w:rsidR="00FC3394" w:rsidRPr="00C22BF2" w:rsidRDefault="00FA5552" w:rsidP="00FC3394">
      <w:pPr>
        <w:pStyle w:val="Titulofigura"/>
        <w:rPr>
          <w:lang w:val="es-CL"/>
        </w:rPr>
      </w:pPr>
      <w:r>
        <w:rPr>
          <w:lang w:val="es-CL"/>
        </w:rPr>
        <w:br w:type="page"/>
      </w:r>
      <w:r w:rsidR="00FC3394" w:rsidRPr="00C22BF2">
        <w:rPr>
          <w:lang w:val="es-CL"/>
        </w:rPr>
        <w:lastRenderedPageBreak/>
        <w:t>Vías del área de influencia</w:t>
      </w:r>
    </w:p>
    <w:p w:rsidR="00FC3394" w:rsidRPr="00502C05" w:rsidRDefault="003616F6" w:rsidP="00FC3394">
      <w:pPr>
        <w:pStyle w:val="Titulofigura"/>
        <w:numPr>
          <w:ilvl w:val="0"/>
          <w:numId w:val="0"/>
        </w:numPr>
        <w:ind w:left="360" w:hanging="360"/>
        <w:rPr>
          <w:highlight w:val="yellow"/>
          <w:lang w:val="es-CL"/>
        </w:rPr>
      </w:pPr>
      <w:r>
        <w:rPr>
          <w:b w:val="0"/>
          <w:noProof/>
          <w:lang w:val="es-ES"/>
        </w:rPr>
        <w:drawing>
          <wp:inline distT="0" distB="0" distL="0" distR="0">
            <wp:extent cx="2514600" cy="2543175"/>
            <wp:effectExtent l="3810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0897" t="17758" r="44716" b="24268"/>
                    <a:stretch>
                      <a:fillRect/>
                    </a:stretch>
                  </pic:blipFill>
                  <pic:spPr bwMode="auto">
                    <a:xfrm>
                      <a:off x="0" y="0"/>
                      <a:ext cx="2514600" cy="2543175"/>
                    </a:xfrm>
                    <a:prstGeom prst="rect">
                      <a:avLst/>
                    </a:prstGeom>
                    <a:noFill/>
                    <a:ln w="6350" cmpd="sng">
                      <a:solidFill>
                        <a:srgbClr val="000000"/>
                      </a:solidFill>
                      <a:miter lim="800000"/>
                      <a:headEnd/>
                      <a:tailEnd/>
                    </a:ln>
                    <a:effectLst/>
                  </pic:spPr>
                </pic:pic>
              </a:graphicData>
            </a:graphic>
          </wp:inline>
        </w:drawing>
      </w:r>
    </w:p>
    <w:p w:rsidR="00FC3394" w:rsidRPr="00502C05" w:rsidRDefault="00FC3394" w:rsidP="00FC3394">
      <w:pPr>
        <w:pStyle w:val="Titulofigura"/>
        <w:numPr>
          <w:ilvl w:val="0"/>
          <w:numId w:val="0"/>
        </w:numPr>
        <w:ind w:left="360" w:hanging="360"/>
        <w:rPr>
          <w:highlight w:val="yellow"/>
          <w:lang w:val="es-CL"/>
        </w:rPr>
      </w:pPr>
    </w:p>
    <w:p w:rsidR="00FC3394" w:rsidRPr="004F10BD" w:rsidRDefault="00FC3394" w:rsidP="00FC3394">
      <w:pPr>
        <w:rPr>
          <w:lang w:val="es-CL"/>
        </w:rPr>
      </w:pPr>
      <w:r w:rsidRPr="004F10BD">
        <w:rPr>
          <w:lang w:val="es-CL"/>
        </w:rPr>
        <w:t>En el cuadro siguiente se indica para cada una de ellas los anchos de faja establecidos en el PRC vigente, su asignación de flujo y grado de saturación.</w:t>
      </w:r>
    </w:p>
    <w:p w:rsidR="00B26028" w:rsidRPr="004F10BD" w:rsidRDefault="00B26028" w:rsidP="00FC3394">
      <w:pPr>
        <w:rPr>
          <w:lang w:val="es-CL"/>
        </w:rPr>
      </w:pPr>
    </w:p>
    <w:p w:rsidR="00FC3394" w:rsidRPr="004F10BD" w:rsidRDefault="00B26028" w:rsidP="00B26028">
      <w:pPr>
        <w:pStyle w:val="Titulocuadro"/>
        <w:rPr>
          <w:lang w:val="es-CL"/>
        </w:rPr>
      </w:pPr>
      <w:r w:rsidRPr="004F10BD">
        <w:rPr>
          <w:lang w:val="es-CL"/>
        </w:rPr>
        <w:t>Indicadores de operación vías relevantes</w:t>
      </w: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698"/>
        <w:gridCol w:w="3047"/>
        <w:gridCol w:w="2110"/>
        <w:gridCol w:w="2110"/>
      </w:tblGrid>
      <w:tr w:rsidR="00CC139E" w:rsidRPr="003744BE" w:rsidTr="00CC139E">
        <w:trPr>
          <w:jc w:val="center"/>
        </w:trPr>
        <w:tc>
          <w:tcPr>
            <w:tcW w:w="1856" w:type="dxa"/>
          </w:tcPr>
          <w:p w:rsidR="00CC139E" w:rsidRPr="003744BE" w:rsidRDefault="00CC139E" w:rsidP="003744BE">
            <w:pPr>
              <w:pStyle w:val="Cuadro"/>
              <w:rPr>
                <w:lang w:val="es-CL"/>
              </w:rPr>
            </w:pPr>
            <w:r w:rsidRPr="003744BE">
              <w:rPr>
                <w:lang w:val="es-CL"/>
              </w:rPr>
              <w:t>Vía</w:t>
            </w:r>
          </w:p>
        </w:tc>
        <w:tc>
          <w:tcPr>
            <w:tcW w:w="698" w:type="dxa"/>
          </w:tcPr>
          <w:p w:rsidR="00CC139E" w:rsidRPr="003744BE" w:rsidRDefault="00CC139E" w:rsidP="00B26028">
            <w:pPr>
              <w:pStyle w:val="Cuadro"/>
              <w:rPr>
                <w:lang w:val="es-CL"/>
              </w:rPr>
            </w:pPr>
            <w:r w:rsidRPr="003744BE">
              <w:rPr>
                <w:lang w:val="es-CL"/>
              </w:rPr>
              <w:t>Faja</w:t>
            </w:r>
          </w:p>
          <w:p w:rsidR="00CC139E" w:rsidRPr="003744BE" w:rsidRDefault="00CC139E" w:rsidP="003744BE">
            <w:pPr>
              <w:pStyle w:val="Cuadro"/>
              <w:rPr>
                <w:lang w:val="es-CL"/>
              </w:rPr>
            </w:pPr>
            <w:r w:rsidRPr="003744BE">
              <w:rPr>
                <w:lang w:val="es-CL"/>
              </w:rPr>
              <w:t>(m.)</w:t>
            </w:r>
          </w:p>
        </w:tc>
        <w:tc>
          <w:tcPr>
            <w:tcW w:w="3047" w:type="dxa"/>
          </w:tcPr>
          <w:p w:rsidR="00CC139E" w:rsidRPr="003744BE" w:rsidRDefault="00CC139E" w:rsidP="003744BE">
            <w:pPr>
              <w:pStyle w:val="Cuadro"/>
              <w:rPr>
                <w:lang w:val="es-CL"/>
              </w:rPr>
            </w:pPr>
            <w:r w:rsidRPr="003744BE">
              <w:rPr>
                <w:lang w:val="es-CL"/>
              </w:rPr>
              <w:t>Flujo asignado ambos sentidos</w:t>
            </w:r>
          </w:p>
          <w:p w:rsidR="00CC139E" w:rsidRPr="003744BE" w:rsidRDefault="00CC139E" w:rsidP="003744BE">
            <w:pPr>
              <w:pStyle w:val="Cuadro"/>
              <w:rPr>
                <w:lang w:val="es-CL"/>
              </w:rPr>
            </w:pPr>
            <w:r w:rsidRPr="003744BE">
              <w:rPr>
                <w:lang w:val="es-CL"/>
              </w:rPr>
              <w:t xml:space="preserve"> (veq/hr)</w:t>
            </w:r>
          </w:p>
        </w:tc>
        <w:tc>
          <w:tcPr>
            <w:tcW w:w="2110" w:type="dxa"/>
          </w:tcPr>
          <w:p w:rsidR="00CC139E" w:rsidRPr="003744BE" w:rsidRDefault="00CC139E" w:rsidP="006C06E5">
            <w:pPr>
              <w:pStyle w:val="Cuadro"/>
              <w:rPr>
                <w:lang w:val="es-CL"/>
              </w:rPr>
            </w:pPr>
            <w:r w:rsidRPr="003744BE">
              <w:rPr>
                <w:lang w:val="es-CL"/>
              </w:rPr>
              <w:t>Grado de Saturación</w:t>
            </w:r>
          </w:p>
          <w:p w:rsidR="00CC139E" w:rsidRPr="003744BE" w:rsidRDefault="00CC139E" w:rsidP="006C06E5">
            <w:pPr>
              <w:pStyle w:val="Cuadro"/>
              <w:rPr>
                <w:lang w:val="es-CL"/>
              </w:rPr>
            </w:pPr>
            <w:r w:rsidRPr="003744BE">
              <w:rPr>
                <w:lang w:val="es-CL"/>
              </w:rPr>
              <w:t>%</w:t>
            </w:r>
          </w:p>
        </w:tc>
        <w:tc>
          <w:tcPr>
            <w:tcW w:w="2110" w:type="dxa"/>
          </w:tcPr>
          <w:p w:rsidR="00CC139E" w:rsidRPr="003744BE" w:rsidRDefault="00CC139E" w:rsidP="00CC139E">
            <w:pPr>
              <w:pStyle w:val="Cuadro"/>
              <w:rPr>
                <w:lang w:val="es-CL"/>
              </w:rPr>
            </w:pPr>
            <w:r>
              <w:rPr>
                <w:lang w:val="es-CL"/>
              </w:rPr>
              <w:t>Capacidad de reserva (veq/hr)</w:t>
            </w:r>
          </w:p>
        </w:tc>
      </w:tr>
      <w:tr w:rsidR="00CC139E" w:rsidRPr="003744BE" w:rsidTr="00CC139E">
        <w:trPr>
          <w:jc w:val="center"/>
        </w:trPr>
        <w:tc>
          <w:tcPr>
            <w:tcW w:w="1856" w:type="dxa"/>
          </w:tcPr>
          <w:p w:rsidR="00CC139E" w:rsidRPr="003744BE" w:rsidRDefault="00CC139E" w:rsidP="003744BE">
            <w:pPr>
              <w:pStyle w:val="Cuadro"/>
              <w:rPr>
                <w:lang w:val="es-CL"/>
              </w:rPr>
            </w:pPr>
            <w:r w:rsidRPr="003744BE">
              <w:rPr>
                <w:lang w:val="es-CL"/>
              </w:rPr>
              <w:t>Fernando Lazcano</w:t>
            </w:r>
          </w:p>
        </w:tc>
        <w:tc>
          <w:tcPr>
            <w:tcW w:w="698" w:type="dxa"/>
          </w:tcPr>
          <w:p w:rsidR="00CC139E" w:rsidRPr="003744BE" w:rsidRDefault="00CC139E" w:rsidP="003744BE">
            <w:pPr>
              <w:pStyle w:val="Cuadro"/>
              <w:rPr>
                <w:lang w:val="es-CL"/>
              </w:rPr>
            </w:pPr>
            <w:r w:rsidRPr="003744BE">
              <w:rPr>
                <w:lang w:val="es-CL"/>
              </w:rPr>
              <w:t>20</w:t>
            </w:r>
          </w:p>
        </w:tc>
        <w:tc>
          <w:tcPr>
            <w:tcW w:w="3047" w:type="dxa"/>
          </w:tcPr>
          <w:p w:rsidR="00CC139E" w:rsidRPr="003744BE" w:rsidRDefault="00CC139E" w:rsidP="003744BE">
            <w:pPr>
              <w:pStyle w:val="Cuadro"/>
              <w:rPr>
                <w:lang w:val="es-CL"/>
              </w:rPr>
            </w:pPr>
            <w:r w:rsidRPr="003744BE">
              <w:rPr>
                <w:lang w:val="es-CL"/>
              </w:rPr>
              <w:t>826</w:t>
            </w:r>
          </w:p>
        </w:tc>
        <w:tc>
          <w:tcPr>
            <w:tcW w:w="2110" w:type="dxa"/>
          </w:tcPr>
          <w:p w:rsidR="00CC139E" w:rsidRPr="003744BE" w:rsidRDefault="00CC139E" w:rsidP="006C06E5">
            <w:pPr>
              <w:jc w:val="center"/>
              <w:rPr>
                <w:rFonts w:cs="Arial"/>
                <w:sz w:val="20"/>
              </w:rPr>
            </w:pPr>
            <w:r w:rsidRPr="003744BE">
              <w:rPr>
                <w:rFonts w:cs="Arial"/>
                <w:sz w:val="20"/>
                <w:lang w:val="es-CL"/>
              </w:rPr>
              <w:t>46%</w:t>
            </w:r>
          </w:p>
        </w:tc>
        <w:tc>
          <w:tcPr>
            <w:tcW w:w="2110" w:type="dxa"/>
          </w:tcPr>
          <w:p w:rsidR="00CC139E" w:rsidRPr="00CC139E" w:rsidRDefault="00CC139E" w:rsidP="00CC139E">
            <w:pPr>
              <w:jc w:val="center"/>
              <w:rPr>
                <w:rFonts w:cs="Arial"/>
                <w:sz w:val="20"/>
              </w:rPr>
            </w:pPr>
            <w:r w:rsidRPr="00CC139E">
              <w:rPr>
                <w:rFonts w:cs="Arial"/>
                <w:sz w:val="20"/>
                <w:lang w:val="es-CL"/>
              </w:rPr>
              <w:t>790</w:t>
            </w:r>
          </w:p>
        </w:tc>
      </w:tr>
      <w:tr w:rsidR="00CC139E" w:rsidRPr="003744BE" w:rsidTr="00CC139E">
        <w:trPr>
          <w:jc w:val="center"/>
        </w:trPr>
        <w:tc>
          <w:tcPr>
            <w:tcW w:w="1856" w:type="dxa"/>
          </w:tcPr>
          <w:p w:rsidR="00CC139E" w:rsidRPr="003744BE" w:rsidRDefault="00CC139E" w:rsidP="003744BE">
            <w:pPr>
              <w:pStyle w:val="Cuadro"/>
              <w:rPr>
                <w:lang w:val="es-CL"/>
              </w:rPr>
            </w:pPr>
            <w:r w:rsidRPr="003744BE">
              <w:rPr>
                <w:lang w:val="es-CL"/>
              </w:rPr>
              <w:t>Salesianos</w:t>
            </w:r>
          </w:p>
        </w:tc>
        <w:tc>
          <w:tcPr>
            <w:tcW w:w="698" w:type="dxa"/>
          </w:tcPr>
          <w:p w:rsidR="00CC139E" w:rsidRPr="003744BE" w:rsidRDefault="00CC139E" w:rsidP="003744BE">
            <w:pPr>
              <w:pStyle w:val="Cuadro"/>
              <w:rPr>
                <w:lang w:val="es-CL"/>
              </w:rPr>
            </w:pPr>
            <w:r w:rsidRPr="003744BE">
              <w:rPr>
                <w:lang w:val="es-CL"/>
              </w:rPr>
              <w:t>24</w:t>
            </w:r>
          </w:p>
        </w:tc>
        <w:tc>
          <w:tcPr>
            <w:tcW w:w="3047" w:type="dxa"/>
          </w:tcPr>
          <w:p w:rsidR="00CC139E" w:rsidRPr="003744BE" w:rsidRDefault="00CC139E" w:rsidP="003744BE">
            <w:pPr>
              <w:pStyle w:val="Cuadro"/>
              <w:rPr>
                <w:lang w:val="es-CL"/>
              </w:rPr>
            </w:pPr>
            <w:r w:rsidRPr="003744BE">
              <w:rPr>
                <w:lang w:val="es-CL"/>
              </w:rPr>
              <w:t>861</w:t>
            </w:r>
          </w:p>
        </w:tc>
        <w:tc>
          <w:tcPr>
            <w:tcW w:w="2110" w:type="dxa"/>
          </w:tcPr>
          <w:p w:rsidR="00CC139E" w:rsidRPr="003744BE" w:rsidRDefault="00CC139E" w:rsidP="006C06E5">
            <w:pPr>
              <w:jc w:val="center"/>
              <w:rPr>
                <w:rFonts w:cs="Arial"/>
                <w:sz w:val="20"/>
              </w:rPr>
            </w:pPr>
            <w:r w:rsidRPr="003744BE">
              <w:rPr>
                <w:rFonts w:cs="Arial"/>
                <w:sz w:val="20"/>
                <w:lang w:val="es-CL"/>
              </w:rPr>
              <w:t>48%</w:t>
            </w:r>
          </w:p>
        </w:tc>
        <w:tc>
          <w:tcPr>
            <w:tcW w:w="2110" w:type="dxa"/>
          </w:tcPr>
          <w:p w:rsidR="00CC139E" w:rsidRPr="00CC139E" w:rsidRDefault="00CC139E" w:rsidP="00CC139E">
            <w:pPr>
              <w:jc w:val="center"/>
              <w:rPr>
                <w:rFonts w:cs="Arial"/>
                <w:sz w:val="20"/>
              </w:rPr>
            </w:pPr>
            <w:r>
              <w:rPr>
                <w:rFonts w:cs="Arial"/>
                <w:sz w:val="20"/>
                <w:lang w:val="es-CL"/>
              </w:rPr>
              <w:t>753</w:t>
            </w:r>
          </w:p>
        </w:tc>
      </w:tr>
      <w:tr w:rsidR="00CC139E" w:rsidRPr="003744BE" w:rsidTr="00CC139E">
        <w:trPr>
          <w:jc w:val="center"/>
        </w:trPr>
        <w:tc>
          <w:tcPr>
            <w:tcW w:w="1856" w:type="dxa"/>
          </w:tcPr>
          <w:p w:rsidR="00CC139E" w:rsidRPr="003744BE" w:rsidRDefault="00CC139E" w:rsidP="003744BE">
            <w:pPr>
              <w:pStyle w:val="Cuadro"/>
              <w:rPr>
                <w:lang w:val="es-CL"/>
              </w:rPr>
            </w:pPr>
            <w:r w:rsidRPr="003744BE">
              <w:rPr>
                <w:lang w:val="es-CL"/>
              </w:rPr>
              <w:t>Gran Avenida</w:t>
            </w:r>
          </w:p>
        </w:tc>
        <w:tc>
          <w:tcPr>
            <w:tcW w:w="698" w:type="dxa"/>
          </w:tcPr>
          <w:p w:rsidR="00CC139E" w:rsidRPr="003744BE" w:rsidRDefault="00CC139E" w:rsidP="003744BE">
            <w:pPr>
              <w:pStyle w:val="Cuadro"/>
              <w:rPr>
                <w:lang w:val="es-CL"/>
              </w:rPr>
            </w:pPr>
            <w:r w:rsidRPr="003744BE">
              <w:rPr>
                <w:lang w:val="es-CL"/>
              </w:rPr>
              <w:t>30</w:t>
            </w:r>
          </w:p>
        </w:tc>
        <w:tc>
          <w:tcPr>
            <w:tcW w:w="3047" w:type="dxa"/>
          </w:tcPr>
          <w:p w:rsidR="00CC139E" w:rsidRPr="003744BE" w:rsidRDefault="00CC139E" w:rsidP="003744BE">
            <w:pPr>
              <w:pStyle w:val="Cuadro"/>
              <w:rPr>
                <w:lang w:val="es-CL"/>
              </w:rPr>
            </w:pPr>
            <w:r w:rsidRPr="003744BE">
              <w:rPr>
                <w:lang w:val="es-CL"/>
              </w:rPr>
              <w:t>3674</w:t>
            </w:r>
          </w:p>
        </w:tc>
        <w:tc>
          <w:tcPr>
            <w:tcW w:w="2110" w:type="dxa"/>
          </w:tcPr>
          <w:p w:rsidR="00CC139E" w:rsidRPr="003744BE" w:rsidRDefault="00CC139E" w:rsidP="006C06E5">
            <w:pPr>
              <w:jc w:val="center"/>
              <w:rPr>
                <w:rFonts w:cs="Arial"/>
                <w:sz w:val="20"/>
              </w:rPr>
            </w:pPr>
            <w:r w:rsidRPr="003744BE">
              <w:rPr>
                <w:rFonts w:cs="Arial"/>
                <w:sz w:val="20"/>
                <w:lang w:val="es-CL"/>
              </w:rPr>
              <w:t>1</w:t>
            </w:r>
            <w:r>
              <w:rPr>
                <w:rFonts w:cs="Arial"/>
                <w:sz w:val="20"/>
                <w:lang w:val="es-CL"/>
              </w:rPr>
              <w:t>22</w:t>
            </w:r>
            <w:r w:rsidRPr="003744BE">
              <w:rPr>
                <w:rFonts w:cs="Arial"/>
                <w:sz w:val="20"/>
                <w:lang w:val="es-CL"/>
              </w:rPr>
              <w:t>%</w:t>
            </w:r>
          </w:p>
        </w:tc>
        <w:tc>
          <w:tcPr>
            <w:tcW w:w="2110" w:type="dxa"/>
          </w:tcPr>
          <w:p w:rsidR="00CC139E" w:rsidRPr="00CC139E" w:rsidRDefault="00CC139E" w:rsidP="00FA5552">
            <w:pPr>
              <w:jc w:val="center"/>
              <w:rPr>
                <w:rFonts w:cs="Arial"/>
                <w:sz w:val="20"/>
              </w:rPr>
            </w:pPr>
            <w:r>
              <w:rPr>
                <w:rFonts w:cs="Arial"/>
                <w:sz w:val="20"/>
              </w:rPr>
              <w:t>0</w:t>
            </w:r>
          </w:p>
        </w:tc>
      </w:tr>
      <w:tr w:rsidR="00CC139E" w:rsidRPr="003744BE" w:rsidTr="00CC139E">
        <w:trPr>
          <w:jc w:val="center"/>
        </w:trPr>
        <w:tc>
          <w:tcPr>
            <w:tcW w:w="1856" w:type="dxa"/>
          </w:tcPr>
          <w:p w:rsidR="00CC139E" w:rsidRPr="003744BE" w:rsidRDefault="00CC139E" w:rsidP="003744BE">
            <w:pPr>
              <w:pStyle w:val="Cuadro"/>
              <w:rPr>
                <w:lang w:val="es-CL"/>
              </w:rPr>
            </w:pPr>
            <w:r w:rsidRPr="003744BE">
              <w:rPr>
                <w:lang w:val="es-CL"/>
              </w:rPr>
              <w:t>San Ignacio</w:t>
            </w:r>
          </w:p>
        </w:tc>
        <w:tc>
          <w:tcPr>
            <w:tcW w:w="698" w:type="dxa"/>
          </w:tcPr>
          <w:p w:rsidR="00CC139E" w:rsidRPr="003744BE" w:rsidRDefault="00CC139E" w:rsidP="003744BE">
            <w:pPr>
              <w:pStyle w:val="Cuadro"/>
              <w:rPr>
                <w:lang w:val="es-CL"/>
              </w:rPr>
            </w:pPr>
            <w:r w:rsidRPr="003744BE">
              <w:rPr>
                <w:lang w:val="es-CL"/>
              </w:rPr>
              <w:t>20</w:t>
            </w:r>
          </w:p>
        </w:tc>
        <w:tc>
          <w:tcPr>
            <w:tcW w:w="3047" w:type="dxa"/>
          </w:tcPr>
          <w:p w:rsidR="00CC139E" w:rsidRPr="003744BE" w:rsidRDefault="00CC139E" w:rsidP="003744BE">
            <w:pPr>
              <w:pStyle w:val="Cuadro"/>
              <w:rPr>
                <w:lang w:val="es-CL"/>
              </w:rPr>
            </w:pPr>
            <w:r w:rsidRPr="003744BE">
              <w:rPr>
                <w:lang w:val="es-CL"/>
              </w:rPr>
              <w:t>678</w:t>
            </w:r>
          </w:p>
        </w:tc>
        <w:tc>
          <w:tcPr>
            <w:tcW w:w="2110" w:type="dxa"/>
          </w:tcPr>
          <w:p w:rsidR="00CC139E" w:rsidRPr="003744BE" w:rsidRDefault="00CC139E" w:rsidP="006C06E5">
            <w:pPr>
              <w:jc w:val="center"/>
              <w:rPr>
                <w:rFonts w:cs="Arial"/>
                <w:sz w:val="20"/>
              </w:rPr>
            </w:pPr>
            <w:r w:rsidRPr="003744BE">
              <w:rPr>
                <w:rFonts w:cs="Arial"/>
                <w:sz w:val="20"/>
                <w:lang w:val="es-CL"/>
              </w:rPr>
              <w:t>38%</w:t>
            </w:r>
          </w:p>
        </w:tc>
        <w:tc>
          <w:tcPr>
            <w:tcW w:w="2110" w:type="dxa"/>
          </w:tcPr>
          <w:p w:rsidR="00CC139E" w:rsidRPr="00CC139E" w:rsidRDefault="00CC139E" w:rsidP="003744BE">
            <w:pPr>
              <w:jc w:val="center"/>
              <w:rPr>
                <w:rFonts w:cs="Arial"/>
                <w:sz w:val="20"/>
              </w:rPr>
            </w:pPr>
            <w:r>
              <w:rPr>
                <w:rFonts w:cs="Arial"/>
                <w:sz w:val="20"/>
              </w:rPr>
              <w:t>928</w:t>
            </w:r>
          </w:p>
        </w:tc>
      </w:tr>
    </w:tbl>
    <w:p w:rsidR="00FC3394" w:rsidRPr="004F10BD" w:rsidRDefault="00B26028" w:rsidP="00B26028">
      <w:pPr>
        <w:jc w:val="center"/>
        <w:rPr>
          <w:sz w:val="20"/>
          <w:lang w:val="es-CL"/>
        </w:rPr>
      </w:pPr>
      <w:r w:rsidRPr="004F10BD">
        <w:rPr>
          <w:sz w:val="20"/>
          <w:lang w:val="es-CL"/>
        </w:rPr>
        <w:t xml:space="preserve">Fuente: </w:t>
      </w:r>
      <w:r w:rsidR="00CC139E">
        <w:rPr>
          <w:sz w:val="20"/>
          <w:lang w:val="es-CL"/>
        </w:rPr>
        <w:t xml:space="preserve">Elaboración propia en base al </w:t>
      </w:r>
      <w:r w:rsidRPr="004F10BD">
        <w:rPr>
          <w:sz w:val="20"/>
          <w:lang w:val="es-CL"/>
        </w:rPr>
        <w:t>ECV del PRC vigente</w:t>
      </w:r>
    </w:p>
    <w:p w:rsidR="00506FDA" w:rsidRPr="00502C05" w:rsidRDefault="00506FDA" w:rsidP="00506FDA">
      <w:pPr>
        <w:rPr>
          <w:highlight w:val="yellow"/>
          <w:lang w:val="es-CL"/>
        </w:rPr>
      </w:pPr>
    </w:p>
    <w:p w:rsidR="002E717C" w:rsidRPr="00993532" w:rsidRDefault="00147C75" w:rsidP="00147C75">
      <w:pPr>
        <w:pStyle w:val="Ttulo2"/>
      </w:pPr>
      <w:r w:rsidRPr="00993532">
        <w:t>Estimación de viajes generados por la modificación</w:t>
      </w:r>
    </w:p>
    <w:p w:rsidR="00147C75" w:rsidRPr="00993532" w:rsidRDefault="00147C75" w:rsidP="00147C75"/>
    <w:p w:rsidR="00993532" w:rsidRDefault="00147C75" w:rsidP="00147C75">
      <w:pPr>
        <w:rPr>
          <w:rFonts w:cs="Arial"/>
          <w:szCs w:val="22"/>
        </w:rPr>
      </w:pPr>
      <w:r w:rsidRPr="00993532">
        <w:t>La estimación de viajes generados se realiza utilizando la misma</w:t>
      </w:r>
      <w:r w:rsidR="00C6272D" w:rsidRPr="00993532">
        <w:t xml:space="preserve"> </w:t>
      </w:r>
      <w:r w:rsidR="009B20B0" w:rsidRPr="00993532">
        <w:t xml:space="preserve">metodología que en el estudio original. </w:t>
      </w:r>
      <w:r w:rsidR="00FA5552" w:rsidRPr="00993532">
        <w:t xml:space="preserve">En este caso debido a que se cambia el uso de suelo a educacional, se determinan los viajes atraídos por la zona. </w:t>
      </w:r>
      <w:r w:rsidR="00993532" w:rsidRPr="00993532">
        <w:rPr>
          <w:rFonts w:cs="Arial"/>
          <w:szCs w:val="22"/>
        </w:rPr>
        <w:t>Para el propósito Estudio, la atracción de viajes se obtiene en forma directa de la estimación de matrículas, producto de que considera una matrícula igual a un viaje atraído por este propósito.</w:t>
      </w:r>
    </w:p>
    <w:p w:rsidR="00993532" w:rsidRDefault="00993532" w:rsidP="00147C75">
      <w:pPr>
        <w:rPr>
          <w:rFonts w:cs="Arial"/>
          <w:szCs w:val="22"/>
        </w:rPr>
      </w:pPr>
    </w:p>
    <w:p w:rsidR="00BD3071" w:rsidRDefault="00993532" w:rsidP="00147C75">
      <w:r>
        <w:rPr>
          <w:rFonts w:cs="Arial"/>
          <w:szCs w:val="22"/>
        </w:rPr>
        <w:t xml:space="preserve">Asumiendo que la cantidad de matrículas máximas que permite la OGUC para un </w:t>
      </w:r>
      <w:r w:rsidRPr="00295D4B">
        <w:rPr>
          <w:rFonts w:cs="Arial"/>
          <w:szCs w:val="22"/>
        </w:rPr>
        <w:t>equipamiento m</w:t>
      </w:r>
      <w:r w:rsidR="007A5A65" w:rsidRPr="00295D4B">
        <w:rPr>
          <w:rFonts w:cs="Arial"/>
          <w:szCs w:val="22"/>
        </w:rPr>
        <w:t>ediano</w:t>
      </w:r>
      <w:r w:rsidRPr="00295D4B">
        <w:rPr>
          <w:rFonts w:cs="Arial"/>
          <w:szCs w:val="22"/>
        </w:rPr>
        <w:t xml:space="preserve"> es de </w:t>
      </w:r>
      <w:r w:rsidR="00CC139E" w:rsidRPr="00295D4B">
        <w:rPr>
          <w:rFonts w:cs="Arial"/>
          <w:szCs w:val="22"/>
        </w:rPr>
        <w:t>6</w:t>
      </w:r>
      <w:r w:rsidRPr="00295D4B">
        <w:rPr>
          <w:rFonts w:cs="Arial"/>
          <w:szCs w:val="22"/>
        </w:rPr>
        <w:t xml:space="preserve">000 personas se atraerían un total de </w:t>
      </w:r>
      <w:r w:rsidR="00CC139E" w:rsidRPr="00295D4B">
        <w:rPr>
          <w:rFonts w:cs="Arial"/>
          <w:szCs w:val="22"/>
        </w:rPr>
        <w:t>6</w:t>
      </w:r>
      <w:r w:rsidRPr="00295D4B">
        <w:rPr>
          <w:rFonts w:cs="Arial"/>
          <w:szCs w:val="22"/>
        </w:rPr>
        <w:t>000 viajes</w:t>
      </w:r>
      <w:r w:rsidRPr="00CC139E">
        <w:rPr>
          <w:rFonts w:cs="Arial"/>
          <w:szCs w:val="22"/>
        </w:rPr>
        <w:t xml:space="preserve"> en el</w:t>
      </w:r>
      <w:r>
        <w:rPr>
          <w:rFonts w:cs="Arial"/>
          <w:szCs w:val="22"/>
        </w:rPr>
        <w:t xml:space="preserve"> periodo punta mañana. Aplicando </w:t>
      </w:r>
      <w:r w:rsidR="009B20B0" w:rsidRPr="00993532">
        <w:t xml:space="preserve">una partición modal del </w:t>
      </w:r>
      <w:r w:rsidR="00261E21">
        <w:t>11.4</w:t>
      </w:r>
      <w:r w:rsidR="002077BC" w:rsidRPr="00993532">
        <w:t xml:space="preserve">% para el modo automóvil en la comuna de San Miguel </w:t>
      </w:r>
      <w:r w:rsidR="00261E21">
        <w:t xml:space="preserve">para el propósito estudio </w:t>
      </w:r>
      <w:r w:rsidR="002077BC" w:rsidRPr="00993532">
        <w:t xml:space="preserve">(EOD Santiago 2006) se tiene que estos </w:t>
      </w:r>
      <w:r>
        <w:t xml:space="preserve">viajes se traducirían en </w:t>
      </w:r>
      <w:r w:rsidR="002077BC" w:rsidRPr="00993532">
        <w:t xml:space="preserve">un flujo vehicular </w:t>
      </w:r>
      <w:r w:rsidR="00CC139E">
        <w:t>684</w:t>
      </w:r>
      <w:r w:rsidR="002077BC" w:rsidRPr="00993532">
        <w:t xml:space="preserve"> veq/hr lo que no incidirían significativamente en los niveles de saturación de la</w:t>
      </w:r>
      <w:r w:rsidR="00261E21">
        <w:t xml:space="preserve"> mayoría de las </w:t>
      </w:r>
      <w:r w:rsidR="002077BC" w:rsidRPr="00993532">
        <w:t>vías pertenecientes al área de influencia</w:t>
      </w:r>
      <w:r w:rsidR="00261E21">
        <w:t xml:space="preserve"> </w:t>
      </w:r>
      <w:r w:rsidR="00CC139E">
        <w:t>ya que tienen una capacidad de reserva que permite albergar el aumento de f</w:t>
      </w:r>
      <w:r w:rsidR="007A5A65">
        <w:t>l</w:t>
      </w:r>
      <w:r w:rsidR="00CC139E">
        <w:t>ujo (ver Cuadro Nº2). L</w:t>
      </w:r>
      <w:r w:rsidR="00261E21">
        <w:t xml:space="preserve">a excepción </w:t>
      </w:r>
      <w:r w:rsidR="00CC139E">
        <w:t xml:space="preserve">la constituye el eje </w:t>
      </w:r>
      <w:r w:rsidR="00261E21">
        <w:t>Gran Avenida que ya está sobre los niveles aceptables</w:t>
      </w:r>
      <w:r w:rsidR="00BD3071">
        <w:t>.</w:t>
      </w:r>
    </w:p>
    <w:p w:rsidR="00261E21" w:rsidRPr="00502C05" w:rsidRDefault="00261E21" w:rsidP="00147C75">
      <w:pPr>
        <w:rPr>
          <w:highlight w:val="yellow"/>
        </w:rPr>
      </w:pPr>
    </w:p>
    <w:p w:rsidR="00261E21" w:rsidRPr="00261E21" w:rsidRDefault="002077BC" w:rsidP="00147C75">
      <w:r w:rsidRPr="00261E21">
        <w:t>En función de lo anterior, se puede afirmar que la modificación propuesta es factible desde el punto de vista de la operación de transporte</w:t>
      </w:r>
      <w:r w:rsidR="00261E21" w:rsidRPr="00261E21">
        <w:t xml:space="preserve"> para las vías inmediatas al área de influencia y mantiene los mismos problemas sobre el eje Gran Avenida que el estudio de capacidad vial</w:t>
      </w:r>
      <w:r w:rsidR="00BD3071">
        <w:t xml:space="preserve"> original y aprobado</w:t>
      </w:r>
      <w:r w:rsidR="00261E21" w:rsidRPr="00261E21">
        <w:t xml:space="preserve">. </w:t>
      </w:r>
    </w:p>
    <w:p w:rsidR="00261E21" w:rsidRPr="00261E21" w:rsidRDefault="00261E21" w:rsidP="00147C75"/>
    <w:p w:rsidR="00261E21" w:rsidRPr="00261E21" w:rsidRDefault="00261E21" w:rsidP="00147C75">
      <w:r w:rsidRPr="00261E21">
        <w:t>Sin perjuicio de lo anterior, se recomienda que en caso que se materialice un centro de estudios con las características que permite la OGUC se debe realizar un Estudio de Impacto Urbano sobre el Sistema de Transporte Urbano para poder dimensionar los conflicto que generarán el aumento de viajes atraídos sobre la operación de las vías pertenecientes al área de influencia con un mejor nivel de detalle y definir las medidas de mitigación necesarias para evitarlos. Entre otras se podrían considerar, regulación de estacionamientos, semáforos y aumentos de capacidad puntuales.</w:t>
      </w:r>
    </w:p>
    <w:sectPr w:rsidR="00261E21" w:rsidRPr="00261E21" w:rsidSect="00652949">
      <w:headerReference w:type="default" r:id="rId12"/>
      <w:footerReference w:type="default" r:id="rId13"/>
      <w:type w:val="continuous"/>
      <w:pgSz w:w="12242" w:h="15842" w:code="1"/>
      <w:pgMar w:top="1701" w:right="1418" w:bottom="1418" w:left="1418" w:header="851" w:footer="851" w:gutter="0"/>
      <w:pgNumType w:start="1"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7BA" w:rsidRDefault="00DB77BA">
      <w:r>
        <w:separator/>
      </w:r>
    </w:p>
  </w:endnote>
  <w:endnote w:type="continuationSeparator" w:id="0">
    <w:p w:rsidR="00DB77BA" w:rsidRDefault="00DB77BA">
      <w:r>
        <w:continuationSeparator/>
      </w:r>
    </w:p>
  </w:endnote>
  <w:endnote w:id="1">
    <w:p w:rsidR="00295D4B" w:rsidRPr="00295D4B" w:rsidRDefault="00295D4B">
      <w:pPr>
        <w:pStyle w:val="Textonotaalfinal"/>
        <w:rPr>
          <w:lang w:val="es-ES"/>
        </w:rPr>
      </w:pPr>
      <w:r>
        <w:rPr>
          <w:rStyle w:val="Refdenotaalfinal"/>
        </w:rPr>
        <w:endnoteRef/>
      </w:r>
      <w:r>
        <w:t xml:space="preserve"> La ordenanza local vigente del PRC de San Miguel del año 2005 señala:</w:t>
      </w:r>
      <w:r w:rsidRPr="00295D4B">
        <w:t xml:space="preserve"> “Equipamiento Mediano: el que contempla una carga de ocupación de hasta 4.000 personas y no consulta más de 800 estacionamientos; en este caso, se podrá ubicar en predios que enfrenten vías troncales o expresas. También el que contemple una carga de ocupación de hasta 3.000 personas y no consulta más de 500 estacionamientos; en este caso, se podrá ubicar en  predios que enfrenten vías colectoras, troncales o expresas.”</w:t>
      </w:r>
      <w:r>
        <w:t xml:space="preserve"> Debido a que la OGUC fue modificada posteriormente, se actualiza automáticamente la ordenanza local homologándose a lo indicado en la OGUC.</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5B1" w:rsidRDefault="00EA55B1" w:rsidP="002225A5">
    <w:pPr>
      <w:pStyle w:val="Piedepgina"/>
      <w:pBdr>
        <w:top w:val="single" w:sz="4" w:space="3" w:color="auto"/>
      </w:pBdr>
      <w:tabs>
        <w:tab w:val="clear" w:pos="9072"/>
        <w:tab w:val="right" w:pos="9356"/>
      </w:tabs>
      <w:jc w:val="left"/>
      <w:rPr>
        <w:lang w:val="es-MX"/>
      </w:rPr>
    </w:pPr>
    <w:r>
      <w:rPr>
        <w:lang w:val="es-MX"/>
      </w:rPr>
      <w:t>Suroeste Consultores Limitada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7BA" w:rsidRDefault="00DB77BA">
      <w:r>
        <w:separator/>
      </w:r>
    </w:p>
  </w:footnote>
  <w:footnote w:type="continuationSeparator" w:id="0">
    <w:p w:rsidR="00DB77BA" w:rsidRDefault="00DB77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BF6" w:rsidRDefault="000B3E99">
    <w:pPr>
      <w:pStyle w:val="Encabezado"/>
      <w:tabs>
        <w:tab w:val="clear" w:pos="9072"/>
        <w:tab w:val="right" w:pos="9356"/>
      </w:tabs>
      <w:rPr>
        <w:lang w:val="es-MX"/>
      </w:rPr>
    </w:pPr>
    <w:r>
      <w:rPr>
        <w:lang w:val="es-MX"/>
      </w:rPr>
      <w:t xml:space="preserve">Estudio Capacidad Vial Modificación Plan Regulador San Miguel, Sector </w:t>
    </w:r>
    <w:r w:rsidR="00AB6A74">
      <w:rPr>
        <w:lang w:val="es-MX"/>
      </w:rPr>
      <w:t>Equipamiento Educacional</w:t>
    </w:r>
    <w:r w:rsidR="00B67BF6">
      <w:rPr>
        <w:lang w:val="es-MX"/>
      </w:rPr>
      <w:tab/>
    </w:r>
    <w:r w:rsidR="00766CF4" w:rsidRPr="00652949">
      <w:rPr>
        <w:lang w:val="es-MX"/>
      </w:rPr>
      <w:fldChar w:fldCharType="begin"/>
    </w:r>
    <w:r w:rsidR="00B67BF6" w:rsidRPr="00652949">
      <w:rPr>
        <w:lang w:val="es-MX"/>
      </w:rPr>
      <w:instrText xml:space="preserve"> PAGE   \* MERGEFORMAT </w:instrText>
    </w:r>
    <w:r w:rsidR="00766CF4" w:rsidRPr="00652949">
      <w:rPr>
        <w:lang w:val="es-MX"/>
      </w:rPr>
      <w:fldChar w:fldCharType="separate"/>
    </w:r>
    <w:r w:rsidR="00117ED5">
      <w:rPr>
        <w:noProof/>
        <w:lang w:val="es-MX"/>
      </w:rPr>
      <w:t>2-1</w:t>
    </w:r>
    <w:r w:rsidR="00766CF4" w:rsidRPr="00652949">
      <w:rPr>
        <w:lang w:val="es-MX"/>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44C06"/>
    <w:multiLevelType w:val="hybridMultilevel"/>
    <w:tmpl w:val="95F6A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B60801"/>
    <w:multiLevelType w:val="hybridMultilevel"/>
    <w:tmpl w:val="63E0F0A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3A67D14"/>
    <w:multiLevelType w:val="hybridMultilevel"/>
    <w:tmpl w:val="5CCA3F3C"/>
    <w:lvl w:ilvl="0" w:tplc="B9903AC8">
      <w:start w:val="7"/>
      <w:numFmt w:val="bullet"/>
      <w:lvlText w:val="-"/>
      <w:lvlJc w:val="left"/>
      <w:pPr>
        <w:ind w:left="927" w:hanging="360"/>
      </w:pPr>
      <w:rPr>
        <w:rFonts w:ascii="Times New Roman" w:eastAsia="Times New Roman" w:hAnsi="Times New Roman" w:cs="Times New Roman"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3">
    <w:nsid w:val="18994DD2"/>
    <w:multiLevelType w:val="multilevel"/>
    <w:tmpl w:val="86225390"/>
    <w:lvl w:ilvl="0">
      <w:start w:val="1"/>
      <w:numFmt w:val="decimal"/>
      <w:pStyle w:val="Ttulo1"/>
      <w:lvlText w:val="%1."/>
      <w:lvlJc w:val="left"/>
      <w:pPr>
        <w:ind w:left="360" w:hanging="360"/>
      </w:pPr>
      <w:rPr>
        <w:rFonts w:hint="default"/>
        <w:b/>
        <w:i w:val="0"/>
        <w:sz w:val="28"/>
      </w:rPr>
    </w:lvl>
    <w:lvl w:ilvl="1">
      <w:start w:val="1"/>
      <w:numFmt w:val="decimal"/>
      <w:pStyle w:val="Ttulo2"/>
      <w:lvlText w:val="%1.%2"/>
      <w:lvlJc w:val="left"/>
      <w:pPr>
        <w:tabs>
          <w:tab w:val="num" w:pos="851"/>
        </w:tabs>
        <w:ind w:left="624" w:hanging="624"/>
      </w:pPr>
      <w:rPr>
        <w:rFonts w:hint="default"/>
      </w:rPr>
    </w:lvl>
    <w:lvl w:ilvl="2">
      <w:start w:val="1"/>
      <w:numFmt w:val="decimal"/>
      <w:pStyle w:val="Ttulo3"/>
      <w:lvlText w:val="%1.%2.%3"/>
      <w:lvlJc w:val="left"/>
      <w:pPr>
        <w:tabs>
          <w:tab w:val="num" w:pos="851"/>
        </w:tabs>
        <w:ind w:left="624" w:hanging="624"/>
      </w:pPr>
      <w:rPr>
        <w:rFonts w:hint="default"/>
      </w:rPr>
    </w:lvl>
    <w:lvl w:ilvl="3">
      <w:start w:val="1"/>
      <w:numFmt w:val="decimal"/>
      <w:pStyle w:val="Ttulo4"/>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021" w:hanging="1021"/>
      </w:pPr>
      <w:rPr>
        <w:rFonts w:hint="default"/>
      </w:rPr>
    </w:lvl>
    <w:lvl w:ilvl="8">
      <w:start w:val="1"/>
      <w:numFmt w:val="decimal"/>
      <w:lvlText w:val="%1.%2.%3.%4.%5.%6.%7.%8.%9"/>
      <w:lvlJc w:val="left"/>
      <w:pPr>
        <w:tabs>
          <w:tab w:val="num" w:pos="1800"/>
        </w:tabs>
        <w:ind w:left="1584" w:hanging="1584"/>
      </w:pPr>
      <w:rPr>
        <w:rFonts w:hint="default"/>
      </w:rPr>
    </w:lvl>
  </w:abstractNum>
  <w:abstractNum w:abstractNumId="4">
    <w:nsid w:val="18EE268F"/>
    <w:multiLevelType w:val="multilevel"/>
    <w:tmpl w:val="5F664F28"/>
    <w:lvl w:ilvl="0">
      <w:start w:val="1"/>
      <w:numFmt w:val="decimal"/>
      <w:lvlText w:val="Cuadro Nº %1:"/>
      <w:lvlJc w:val="left"/>
      <w:pPr>
        <w:tabs>
          <w:tab w:val="num" w:pos="1800"/>
        </w:tabs>
        <w:ind w:left="0" w:firstLine="0"/>
      </w:pPr>
      <w:rPr>
        <w:rFonts w:hint="default"/>
        <w:caps w:val="0"/>
        <w:strike w:val="0"/>
        <w:dstrike w:val="0"/>
        <w:outline w:val="0"/>
        <w:shadow w:val="0"/>
        <w:emboss w:val="0"/>
        <w:imprint w:val="0"/>
        <w:vanish w:val="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B674074"/>
    <w:multiLevelType w:val="hybridMultilevel"/>
    <w:tmpl w:val="BD70E8D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D460E52"/>
    <w:multiLevelType w:val="hybridMultilevel"/>
    <w:tmpl w:val="4A84406A"/>
    <w:lvl w:ilvl="0" w:tplc="0CDE1F6E">
      <w:start w:val="1"/>
      <w:numFmt w:val="low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F9F1F25"/>
    <w:multiLevelType w:val="hybridMultilevel"/>
    <w:tmpl w:val="E6FA9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17038B"/>
    <w:multiLevelType w:val="hybridMultilevel"/>
    <w:tmpl w:val="246E00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D88513B"/>
    <w:multiLevelType w:val="multilevel"/>
    <w:tmpl w:val="FB5E0B22"/>
    <w:styleLink w:val="WW8Num3"/>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nsid w:val="40A35DF2"/>
    <w:multiLevelType w:val="hybridMultilevel"/>
    <w:tmpl w:val="ABDA6B6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nsid w:val="477F109D"/>
    <w:multiLevelType w:val="hybridMultilevel"/>
    <w:tmpl w:val="02AE44E4"/>
    <w:lvl w:ilvl="0" w:tplc="B9903AC8">
      <w:start w:val="7"/>
      <w:numFmt w:val="bullet"/>
      <w:lvlText w:val="-"/>
      <w:lvlJc w:val="left"/>
      <w:pPr>
        <w:ind w:left="927" w:hanging="360"/>
      </w:pPr>
      <w:rPr>
        <w:rFonts w:ascii="Times New Roman" w:eastAsia="Times New Roman" w:hAnsi="Times New Roman"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CDE28FB"/>
    <w:multiLevelType w:val="hybridMultilevel"/>
    <w:tmpl w:val="BB8C77FA"/>
    <w:lvl w:ilvl="0" w:tplc="080A0001">
      <w:start w:val="1"/>
      <w:numFmt w:val="bullet"/>
      <w:lvlText w:val=""/>
      <w:lvlJc w:val="left"/>
      <w:pPr>
        <w:ind w:left="720" w:hanging="360"/>
      </w:pPr>
      <w:rPr>
        <w:rFonts w:ascii="Symbol" w:hAnsi="Symbol" w:hint="default"/>
      </w:rPr>
    </w:lvl>
    <w:lvl w:ilvl="1" w:tplc="BA38793E">
      <w:numFmt w:val="bullet"/>
      <w:lvlText w:val="•"/>
      <w:lvlJc w:val="left"/>
      <w:pPr>
        <w:ind w:left="1440" w:hanging="360"/>
      </w:pPr>
      <w:rPr>
        <w:rFonts w:ascii="Arial" w:eastAsia="Times New Roman" w:hAnsi="Arial" w:cs="Aria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53D47D7"/>
    <w:multiLevelType w:val="multilevel"/>
    <w:tmpl w:val="8470540C"/>
    <w:lvl w:ilvl="0">
      <w:start w:val="1"/>
      <w:numFmt w:val="decimal"/>
      <w:suff w:val="space"/>
      <w:lvlText w:val="Foto Nº 1-%1:"/>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562E63A8"/>
    <w:multiLevelType w:val="multilevel"/>
    <w:tmpl w:val="1A326900"/>
    <w:lvl w:ilvl="0">
      <w:start w:val="1"/>
      <w:numFmt w:val="decimal"/>
      <w:isLgl/>
      <w:lvlText w:val="CAPÍTULO %1:"/>
      <w:lvlJc w:val="left"/>
      <w:pPr>
        <w:tabs>
          <w:tab w:val="num" w:pos="1928"/>
        </w:tabs>
        <w:ind w:left="1928" w:hanging="1928"/>
      </w:pPr>
      <w:rPr>
        <w:rFonts w:ascii="Arial" w:hAnsi="Arial" w:hint="default"/>
        <w:b/>
        <w:i w:val="0"/>
        <w:sz w:val="28"/>
      </w:rPr>
    </w:lvl>
    <w:lvl w:ilvl="1">
      <w:start w:val="1"/>
      <w:numFmt w:val="decimal"/>
      <w:lvlText w:val="%1.%2"/>
      <w:lvlJc w:val="left"/>
      <w:pPr>
        <w:tabs>
          <w:tab w:val="num" w:pos="851"/>
        </w:tabs>
        <w:ind w:left="624" w:hanging="624"/>
      </w:pPr>
      <w:rPr>
        <w:rFonts w:hint="default"/>
      </w:rPr>
    </w:lvl>
    <w:lvl w:ilvl="2">
      <w:start w:val="1"/>
      <w:numFmt w:val="decimal"/>
      <w:lvlText w:val="%1.%2.%3"/>
      <w:lvlJc w:val="left"/>
      <w:pPr>
        <w:tabs>
          <w:tab w:val="num" w:pos="624"/>
        </w:tabs>
        <w:ind w:left="624" w:hanging="624"/>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021" w:hanging="1021"/>
      </w:pPr>
      <w:rPr>
        <w:rFonts w:hint="default"/>
      </w:rPr>
    </w:lvl>
    <w:lvl w:ilvl="8">
      <w:start w:val="1"/>
      <w:numFmt w:val="decimal"/>
      <w:lvlText w:val="%1.%2.%3.%4.%5.%6.%7.%8.%9"/>
      <w:lvlJc w:val="left"/>
      <w:pPr>
        <w:tabs>
          <w:tab w:val="num" w:pos="1800"/>
        </w:tabs>
        <w:ind w:left="1584" w:hanging="1584"/>
      </w:pPr>
      <w:rPr>
        <w:rFonts w:hint="default"/>
      </w:rPr>
    </w:lvl>
  </w:abstractNum>
  <w:abstractNum w:abstractNumId="15">
    <w:nsid w:val="58ED414E"/>
    <w:multiLevelType w:val="hybridMultilevel"/>
    <w:tmpl w:val="F886F4B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nsid w:val="5C672991"/>
    <w:multiLevelType w:val="singleLevel"/>
    <w:tmpl w:val="5F664F28"/>
    <w:lvl w:ilvl="0">
      <w:start w:val="1"/>
      <w:numFmt w:val="decimal"/>
      <w:pStyle w:val="Titulocuadro"/>
      <w:lvlText w:val="Cuadro Nº %1:"/>
      <w:lvlJc w:val="left"/>
      <w:pPr>
        <w:tabs>
          <w:tab w:val="num" w:pos="1800"/>
        </w:tabs>
        <w:ind w:left="0" w:firstLine="0"/>
      </w:pPr>
      <w:rPr>
        <w:rFonts w:hint="default"/>
        <w:caps w:val="0"/>
        <w:strike w:val="0"/>
        <w:dstrike w:val="0"/>
        <w:outline w:val="0"/>
        <w:shadow w:val="0"/>
        <w:emboss w:val="0"/>
        <w:imprint w:val="0"/>
        <w:vanish w:val="0"/>
        <w:sz w:val="24"/>
        <w:vertAlign w:val="baseline"/>
      </w:rPr>
    </w:lvl>
  </w:abstractNum>
  <w:abstractNum w:abstractNumId="17">
    <w:nsid w:val="60C523F1"/>
    <w:multiLevelType w:val="multilevel"/>
    <w:tmpl w:val="0C0A001D"/>
    <w:styleLink w:val="Estilo4"/>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620D6652"/>
    <w:multiLevelType w:val="hybridMultilevel"/>
    <w:tmpl w:val="3A5C33BC"/>
    <w:lvl w:ilvl="0" w:tplc="B9903AC8">
      <w:start w:val="7"/>
      <w:numFmt w:val="bullet"/>
      <w:lvlText w:val="-"/>
      <w:lvlJc w:val="left"/>
      <w:pPr>
        <w:ind w:left="1068" w:hanging="360"/>
      </w:pPr>
      <w:rPr>
        <w:rFonts w:ascii="Times New Roman" w:eastAsia="Times New Roman" w:hAnsi="Times New Roman" w:cs="Times New Roman" w:hint="default"/>
      </w:rPr>
    </w:lvl>
    <w:lvl w:ilvl="1" w:tplc="080A0003" w:tentative="1">
      <w:start w:val="1"/>
      <w:numFmt w:val="bullet"/>
      <w:lvlText w:val="o"/>
      <w:lvlJc w:val="left"/>
      <w:pPr>
        <w:ind w:left="1581" w:hanging="360"/>
      </w:pPr>
      <w:rPr>
        <w:rFonts w:ascii="Courier New" w:hAnsi="Courier New" w:cs="Courier New" w:hint="default"/>
      </w:rPr>
    </w:lvl>
    <w:lvl w:ilvl="2" w:tplc="080A0005" w:tentative="1">
      <w:start w:val="1"/>
      <w:numFmt w:val="bullet"/>
      <w:lvlText w:val=""/>
      <w:lvlJc w:val="left"/>
      <w:pPr>
        <w:ind w:left="2301" w:hanging="360"/>
      </w:pPr>
      <w:rPr>
        <w:rFonts w:ascii="Wingdings" w:hAnsi="Wingdings" w:hint="default"/>
      </w:rPr>
    </w:lvl>
    <w:lvl w:ilvl="3" w:tplc="080A0001" w:tentative="1">
      <w:start w:val="1"/>
      <w:numFmt w:val="bullet"/>
      <w:lvlText w:val=""/>
      <w:lvlJc w:val="left"/>
      <w:pPr>
        <w:ind w:left="3021" w:hanging="360"/>
      </w:pPr>
      <w:rPr>
        <w:rFonts w:ascii="Symbol" w:hAnsi="Symbol" w:hint="default"/>
      </w:rPr>
    </w:lvl>
    <w:lvl w:ilvl="4" w:tplc="080A0003" w:tentative="1">
      <w:start w:val="1"/>
      <w:numFmt w:val="bullet"/>
      <w:lvlText w:val="o"/>
      <w:lvlJc w:val="left"/>
      <w:pPr>
        <w:ind w:left="3741" w:hanging="360"/>
      </w:pPr>
      <w:rPr>
        <w:rFonts w:ascii="Courier New" w:hAnsi="Courier New" w:cs="Courier New" w:hint="default"/>
      </w:rPr>
    </w:lvl>
    <w:lvl w:ilvl="5" w:tplc="080A0005" w:tentative="1">
      <w:start w:val="1"/>
      <w:numFmt w:val="bullet"/>
      <w:lvlText w:val=""/>
      <w:lvlJc w:val="left"/>
      <w:pPr>
        <w:ind w:left="4461" w:hanging="360"/>
      </w:pPr>
      <w:rPr>
        <w:rFonts w:ascii="Wingdings" w:hAnsi="Wingdings" w:hint="default"/>
      </w:rPr>
    </w:lvl>
    <w:lvl w:ilvl="6" w:tplc="080A0001" w:tentative="1">
      <w:start w:val="1"/>
      <w:numFmt w:val="bullet"/>
      <w:lvlText w:val=""/>
      <w:lvlJc w:val="left"/>
      <w:pPr>
        <w:ind w:left="5181" w:hanging="360"/>
      </w:pPr>
      <w:rPr>
        <w:rFonts w:ascii="Symbol" w:hAnsi="Symbol" w:hint="default"/>
      </w:rPr>
    </w:lvl>
    <w:lvl w:ilvl="7" w:tplc="080A0003" w:tentative="1">
      <w:start w:val="1"/>
      <w:numFmt w:val="bullet"/>
      <w:lvlText w:val="o"/>
      <w:lvlJc w:val="left"/>
      <w:pPr>
        <w:ind w:left="5901" w:hanging="360"/>
      </w:pPr>
      <w:rPr>
        <w:rFonts w:ascii="Courier New" w:hAnsi="Courier New" w:cs="Courier New" w:hint="default"/>
      </w:rPr>
    </w:lvl>
    <w:lvl w:ilvl="8" w:tplc="080A0005" w:tentative="1">
      <w:start w:val="1"/>
      <w:numFmt w:val="bullet"/>
      <w:lvlText w:val=""/>
      <w:lvlJc w:val="left"/>
      <w:pPr>
        <w:ind w:left="6621" w:hanging="360"/>
      </w:pPr>
      <w:rPr>
        <w:rFonts w:ascii="Wingdings" w:hAnsi="Wingdings" w:hint="default"/>
      </w:rPr>
    </w:lvl>
  </w:abstractNum>
  <w:abstractNum w:abstractNumId="19">
    <w:nsid w:val="6A6572E2"/>
    <w:multiLevelType w:val="multilevel"/>
    <w:tmpl w:val="244A7BBA"/>
    <w:lvl w:ilvl="0">
      <w:start w:val="1"/>
      <w:numFmt w:val="decimal"/>
      <w:isLgl/>
      <w:lvlText w:val="CAPÍTULO %1:"/>
      <w:lvlJc w:val="left"/>
      <w:pPr>
        <w:tabs>
          <w:tab w:val="num" w:pos="1928"/>
        </w:tabs>
        <w:ind w:left="1928" w:hanging="1928"/>
      </w:pPr>
      <w:rPr>
        <w:rFonts w:ascii="Arial" w:hAnsi="Arial" w:hint="default"/>
        <w:b/>
        <w:i w:val="0"/>
        <w:sz w:val="28"/>
      </w:rPr>
    </w:lvl>
    <w:lvl w:ilvl="1">
      <w:start w:val="1"/>
      <w:numFmt w:val="decimal"/>
      <w:lvlText w:val="%1.%2"/>
      <w:lvlJc w:val="left"/>
      <w:pPr>
        <w:tabs>
          <w:tab w:val="num" w:pos="624"/>
        </w:tabs>
        <w:ind w:left="624" w:hanging="624"/>
      </w:pPr>
    </w:lvl>
    <w:lvl w:ilvl="2">
      <w:start w:val="1"/>
      <w:numFmt w:val="decimal"/>
      <w:lvlText w:val="%1.%2.%3"/>
      <w:lvlJc w:val="left"/>
      <w:pPr>
        <w:tabs>
          <w:tab w:val="num" w:pos="624"/>
        </w:tabs>
        <w:ind w:left="624" w:hanging="624"/>
      </w:pPr>
    </w:lvl>
    <w:lvl w:ilvl="3">
      <w:start w:val="1"/>
      <w:numFmt w:val="decimal"/>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021" w:hanging="1021"/>
      </w:pPr>
    </w:lvl>
    <w:lvl w:ilvl="8">
      <w:start w:val="1"/>
      <w:numFmt w:val="decimal"/>
      <w:lvlText w:val="%1.%2.%3.%4.%5.%6.%7.%8.%9"/>
      <w:lvlJc w:val="left"/>
      <w:pPr>
        <w:tabs>
          <w:tab w:val="num" w:pos="1800"/>
        </w:tabs>
        <w:ind w:left="1584" w:hanging="1584"/>
      </w:pPr>
    </w:lvl>
  </w:abstractNum>
  <w:abstractNum w:abstractNumId="20">
    <w:nsid w:val="70802AB0"/>
    <w:multiLevelType w:val="hybridMultilevel"/>
    <w:tmpl w:val="C1B23F7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73041F26"/>
    <w:multiLevelType w:val="hybridMultilevel"/>
    <w:tmpl w:val="720A8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31D77F7"/>
    <w:multiLevelType w:val="multilevel"/>
    <w:tmpl w:val="F5B84F7A"/>
    <w:lvl w:ilvl="0">
      <w:start w:val="1"/>
      <w:numFmt w:val="decimal"/>
      <w:pStyle w:val="TituloFoto"/>
      <w:suff w:val="space"/>
      <w:lvlText w:val="Foto Nº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nsid w:val="754A727F"/>
    <w:multiLevelType w:val="hybridMultilevel"/>
    <w:tmpl w:val="2F901FDC"/>
    <w:lvl w:ilvl="0" w:tplc="080A0001">
      <w:start w:val="1"/>
      <w:numFmt w:val="bullet"/>
      <w:lvlText w:val=""/>
      <w:lvlJc w:val="left"/>
      <w:pPr>
        <w:ind w:left="720" w:hanging="360"/>
      </w:pPr>
      <w:rPr>
        <w:rFonts w:ascii="Symbol" w:hAnsi="Symbol" w:hint="default"/>
      </w:rPr>
    </w:lvl>
    <w:lvl w:ilvl="1" w:tplc="BA38793E">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70A7BBE"/>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7CA81880"/>
    <w:multiLevelType w:val="singleLevel"/>
    <w:tmpl w:val="BB460FFA"/>
    <w:lvl w:ilvl="0">
      <w:start w:val="1"/>
      <w:numFmt w:val="decimal"/>
      <w:pStyle w:val="Titulofigura"/>
      <w:lvlText w:val="Figura Nº1- %1:"/>
      <w:lvlJc w:val="left"/>
      <w:pPr>
        <w:ind w:left="4046" w:hanging="360"/>
      </w:pPr>
      <w:rPr>
        <w:rFonts w:hint="default"/>
        <w:caps w:val="0"/>
        <w:strike w:val="0"/>
        <w:dstrike w:val="0"/>
        <w:outline w:val="0"/>
        <w:shadow w:val="0"/>
        <w:emboss w:val="0"/>
        <w:imprint w:val="0"/>
        <w:vanish w:val="0"/>
        <w:sz w:val="24"/>
        <w:vertAlign w:val="baseline"/>
      </w:rPr>
    </w:lvl>
  </w:abstractNum>
  <w:num w:numId="1">
    <w:abstractNumId w:val="3"/>
  </w:num>
  <w:num w:numId="2">
    <w:abstractNumId w:val="3"/>
  </w:num>
  <w:num w:numId="3">
    <w:abstractNumId w:val="3"/>
  </w:num>
  <w:num w:numId="4">
    <w:abstractNumId w:val="3"/>
  </w:num>
  <w:num w:numId="5">
    <w:abstractNumId w:val="16"/>
  </w:num>
  <w:num w:numId="6">
    <w:abstractNumId w:val="25"/>
  </w:num>
  <w:num w:numId="7">
    <w:abstractNumId w:val="13"/>
  </w:num>
  <w:num w:numId="8">
    <w:abstractNumId w:val="22"/>
  </w:num>
  <w:num w:numId="9">
    <w:abstractNumId w:val="19"/>
  </w:num>
  <w:num w:numId="10">
    <w:abstractNumId w:val="14"/>
  </w:num>
  <w:num w:numId="11">
    <w:abstractNumId w:val="24"/>
  </w:num>
  <w:num w:numId="12">
    <w:abstractNumId w:val="4"/>
  </w:num>
  <w:num w:numId="13">
    <w:abstractNumId w:val="17"/>
  </w:num>
  <w:num w:numId="14">
    <w:abstractNumId w:val="5"/>
  </w:num>
  <w:num w:numId="15">
    <w:abstractNumId w:val="20"/>
  </w:num>
  <w:num w:numId="16">
    <w:abstractNumId w:val="8"/>
  </w:num>
  <w:num w:numId="17">
    <w:abstractNumId w:val="1"/>
  </w:num>
  <w:num w:numId="18">
    <w:abstractNumId w:val="3"/>
  </w:num>
  <w:num w:numId="19">
    <w:abstractNumId w:val="21"/>
  </w:num>
  <w:num w:numId="20">
    <w:abstractNumId w:val="7"/>
  </w:num>
  <w:num w:numId="21">
    <w:abstractNumId w:val="23"/>
  </w:num>
  <w:num w:numId="22">
    <w:abstractNumId w:val="12"/>
  </w:num>
  <w:num w:numId="23">
    <w:abstractNumId w:val="10"/>
  </w:num>
  <w:num w:numId="24">
    <w:abstractNumId w:val="15"/>
  </w:num>
  <w:num w:numId="25">
    <w:abstractNumId w:val="9"/>
  </w:num>
  <w:num w:numId="26">
    <w:abstractNumId w:val="2"/>
  </w:num>
  <w:num w:numId="27">
    <w:abstractNumId w:val="0"/>
  </w:num>
  <w:num w:numId="28">
    <w:abstractNumId w:val="18"/>
  </w:num>
  <w:num w:numId="29">
    <w:abstractNumId w:val="11"/>
  </w:num>
  <w:num w:numId="3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2F0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023605"/>
    <w:rsid w:val="000068C4"/>
    <w:rsid w:val="00012733"/>
    <w:rsid w:val="00023605"/>
    <w:rsid w:val="000271CD"/>
    <w:rsid w:val="00053926"/>
    <w:rsid w:val="00094629"/>
    <w:rsid w:val="000A116F"/>
    <w:rsid w:val="000B3E99"/>
    <w:rsid w:val="000E566B"/>
    <w:rsid w:val="000E7DFE"/>
    <w:rsid w:val="00104945"/>
    <w:rsid w:val="001126BF"/>
    <w:rsid w:val="0011525C"/>
    <w:rsid w:val="00117ED5"/>
    <w:rsid w:val="0012436C"/>
    <w:rsid w:val="00147C75"/>
    <w:rsid w:val="001713B7"/>
    <w:rsid w:val="00181C04"/>
    <w:rsid w:val="0018214F"/>
    <w:rsid w:val="001956AD"/>
    <w:rsid w:val="001A4938"/>
    <w:rsid w:val="001E3DC2"/>
    <w:rsid w:val="001F37B0"/>
    <w:rsid w:val="002077BC"/>
    <w:rsid w:val="0021342C"/>
    <w:rsid w:val="002225A5"/>
    <w:rsid w:val="00232337"/>
    <w:rsid w:val="00261E21"/>
    <w:rsid w:val="002847B1"/>
    <w:rsid w:val="002874FA"/>
    <w:rsid w:val="00295D4B"/>
    <w:rsid w:val="002B202C"/>
    <w:rsid w:val="002B4C7A"/>
    <w:rsid w:val="002C594D"/>
    <w:rsid w:val="002E0EF9"/>
    <w:rsid w:val="002E717C"/>
    <w:rsid w:val="002F6E2A"/>
    <w:rsid w:val="002F77AB"/>
    <w:rsid w:val="00310DF2"/>
    <w:rsid w:val="0031473D"/>
    <w:rsid w:val="003616F6"/>
    <w:rsid w:val="003728E8"/>
    <w:rsid w:val="003744BE"/>
    <w:rsid w:val="00383244"/>
    <w:rsid w:val="003B3C12"/>
    <w:rsid w:val="003D653C"/>
    <w:rsid w:val="003E020D"/>
    <w:rsid w:val="003F0E7E"/>
    <w:rsid w:val="003F41FD"/>
    <w:rsid w:val="003F7167"/>
    <w:rsid w:val="00401871"/>
    <w:rsid w:val="00411557"/>
    <w:rsid w:val="00454204"/>
    <w:rsid w:val="00477981"/>
    <w:rsid w:val="004A5873"/>
    <w:rsid w:val="004B4E11"/>
    <w:rsid w:val="004E08BC"/>
    <w:rsid w:val="004F10BD"/>
    <w:rsid w:val="00502C05"/>
    <w:rsid w:val="00506FDA"/>
    <w:rsid w:val="00525E0C"/>
    <w:rsid w:val="00566834"/>
    <w:rsid w:val="00566ADE"/>
    <w:rsid w:val="005755FE"/>
    <w:rsid w:val="00575823"/>
    <w:rsid w:val="0058564B"/>
    <w:rsid w:val="005929DB"/>
    <w:rsid w:val="005D5156"/>
    <w:rsid w:val="005E100D"/>
    <w:rsid w:val="005E4113"/>
    <w:rsid w:val="005F71D0"/>
    <w:rsid w:val="00604657"/>
    <w:rsid w:val="006071A2"/>
    <w:rsid w:val="00616225"/>
    <w:rsid w:val="006263D6"/>
    <w:rsid w:val="00652949"/>
    <w:rsid w:val="00697186"/>
    <w:rsid w:val="006C06E5"/>
    <w:rsid w:val="007004B7"/>
    <w:rsid w:val="00702B96"/>
    <w:rsid w:val="00705491"/>
    <w:rsid w:val="00745979"/>
    <w:rsid w:val="007500EE"/>
    <w:rsid w:val="00756BD1"/>
    <w:rsid w:val="00766CF4"/>
    <w:rsid w:val="007803BB"/>
    <w:rsid w:val="007809BD"/>
    <w:rsid w:val="00796CE4"/>
    <w:rsid w:val="007A5A65"/>
    <w:rsid w:val="007C0E95"/>
    <w:rsid w:val="007C142D"/>
    <w:rsid w:val="00801089"/>
    <w:rsid w:val="00832FD8"/>
    <w:rsid w:val="00853B38"/>
    <w:rsid w:val="00885F45"/>
    <w:rsid w:val="00887766"/>
    <w:rsid w:val="008C40B2"/>
    <w:rsid w:val="008D5E04"/>
    <w:rsid w:val="008D689E"/>
    <w:rsid w:val="00907D80"/>
    <w:rsid w:val="00925949"/>
    <w:rsid w:val="0096204E"/>
    <w:rsid w:val="00993532"/>
    <w:rsid w:val="009B20B0"/>
    <w:rsid w:val="009C099B"/>
    <w:rsid w:val="009C4091"/>
    <w:rsid w:val="009C667D"/>
    <w:rsid w:val="009D0C7E"/>
    <w:rsid w:val="009D724D"/>
    <w:rsid w:val="009E1AA8"/>
    <w:rsid w:val="00A213AB"/>
    <w:rsid w:val="00A24CF9"/>
    <w:rsid w:val="00A44561"/>
    <w:rsid w:val="00A63A3E"/>
    <w:rsid w:val="00A86348"/>
    <w:rsid w:val="00A959E5"/>
    <w:rsid w:val="00AA1005"/>
    <w:rsid w:val="00AB3F3A"/>
    <w:rsid w:val="00AB6A74"/>
    <w:rsid w:val="00AC3A8F"/>
    <w:rsid w:val="00AC5278"/>
    <w:rsid w:val="00AE1096"/>
    <w:rsid w:val="00B03E73"/>
    <w:rsid w:val="00B2531F"/>
    <w:rsid w:val="00B26028"/>
    <w:rsid w:val="00B35FF5"/>
    <w:rsid w:val="00B67BF6"/>
    <w:rsid w:val="00B91B21"/>
    <w:rsid w:val="00BA2A2E"/>
    <w:rsid w:val="00BB2C78"/>
    <w:rsid w:val="00BC6D68"/>
    <w:rsid w:val="00BD3071"/>
    <w:rsid w:val="00BD7BAA"/>
    <w:rsid w:val="00C22BF2"/>
    <w:rsid w:val="00C26A41"/>
    <w:rsid w:val="00C35494"/>
    <w:rsid w:val="00C50967"/>
    <w:rsid w:val="00C6272D"/>
    <w:rsid w:val="00C67DC6"/>
    <w:rsid w:val="00C75C50"/>
    <w:rsid w:val="00C928F2"/>
    <w:rsid w:val="00CB044B"/>
    <w:rsid w:val="00CC139E"/>
    <w:rsid w:val="00CF3B74"/>
    <w:rsid w:val="00D11907"/>
    <w:rsid w:val="00D16003"/>
    <w:rsid w:val="00D177EC"/>
    <w:rsid w:val="00D40165"/>
    <w:rsid w:val="00D60563"/>
    <w:rsid w:val="00D87CFD"/>
    <w:rsid w:val="00DB77BA"/>
    <w:rsid w:val="00E10F78"/>
    <w:rsid w:val="00E13F1E"/>
    <w:rsid w:val="00E44327"/>
    <w:rsid w:val="00E45DBA"/>
    <w:rsid w:val="00E52B96"/>
    <w:rsid w:val="00E70301"/>
    <w:rsid w:val="00EA1FA5"/>
    <w:rsid w:val="00EA55B1"/>
    <w:rsid w:val="00EB143C"/>
    <w:rsid w:val="00EC5156"/>
    <w:rsid w:val="00EC79EA"/>
    <w:rsid w:val="00ED7790"/>
    <w:rsid w:val="00EF5641"/>
    <w:rsid w:val="00F0780D"/>
    <w:rsid w:val="00F745CC"/>
    <w:rsid w:val="00FA5552"/>
    <w:rsid w:val="00FC3394"/>
    <w:rsid w:val="00FF537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641"/>
    <w:pPr>
      <w:widowControl w:val="0"/>
      <w:jc w:val="both"/>
    </w:pPr>
    <w:rPr>
      <w:rFonts w:ascii="Arial" w:hAnsi="Arial"/>
      <w:spacing w:val="-3"/>
      <w:sz w:val="24"/>
      <w:lang w:val="es-ES_tradnl"/>
    </w:rPr>
  </w:style>
  <w:style w:type="paragraph" w:styleId="Ttulo1">
    <w:name w:val="heading 1"/>
    <w:basedOn w:val="Normal"/>
    <w:next w:val="Normal"/>
    <w:qFormat/>
    <w:rsid w:val="003F0E7E"/>
    <w:pPr>
      <w:keepNext/>
      <w:numPr>
        <w:numId w:val="1"/>
      </w:numPr>
      <w:outlineLvl w:val="0"/>
    </w:pPr>
    <w:rPr>
      <w:b/>
      <w:caps/>
      <w:sz w:val="28"/>
    </w:rPr>
  </w:style>
  <w:style w:type="paragraph" w:styleId="Ttulo2">
    <w:name w:val="heading 2"/>
    <w:basedOn w:val="Normal"/>
    <w:next w:val="Normal"/>
    <w:qFormat/>
    <w:rsid w:val="00B35FF5"/>
    <w:pPr>
      <w:numPr>
        <w:ilvl w:val="1"/>
        <w:numId w:val="1"/>
      </w:numPr>
      <w:outlineLvl w:val="1"/>
    </w:pPr>
    <w:rPr>
      <w:b/>
    </w:rPr>
  </w:style>
  <w:style w:type="paragraph" w:styleId="Ttulo3">
    <w:name w:val="heading 3"/>
    <w:basedOn w:val="Normal"/>
    <w:next w:val="Normal"/>
    <w:qFormat/>
    <w:rsid w:val="00B35FF5"/>
    <w:pPr>
      <w:numPr>
        <w:ilvl w:val="2"/>
        <w:numId w:val="1"/>
      </w:numPr>
      <w:suppressAutoHyphens/>
      <w:outlineLvl w:val="2"/>
    </w:pPr>
    <w:rPr>
      <w:b/>
    </w:rPr>
  </w:style>
  <w:style w:type="paragraph" w:styleId="Ttulo4">
    <w:name w:val="heading 4"/>
    <w:basedOn w:val="Normal"/>
    <w:next w:val="Normal"/>
    <w:qFormat/>
    <w:rsid w:val="00B35FF5"/>
    <w:pPr>
      <w:numPr>
        <w:ilvl w:val="3"/>
        <w:numId w:val="1"/>
      </w:numPr>
      <w:suppressAutoHyphens/>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o">
    <w:name w:val="Cuadro"/>
    <w:basedOn w:val="Normal"/>
    <w:rsid w:val="00EF5641"/>
    <w:pPr>
      <w:spacing w:before="20"/>
      <w:jc w:val="center"/>
    </w:pPr>
    <w:rPr>
      <w:sz w:val="20"/>
    </w:rPr>
  </w:style>
  <w:style w:type="paragraph" w:styleId="Encabezado">
    <w:name w:val="header"/>
    <w:aliases w:val="encabezado"/>
    <w:basedOn w:val="Normal"/>
    <w:semiHidden/>
    <w:rsid w:val="00EF5641"/>
    <w:pPr>
      <w:tabs>
        <w:tab w:val="right" w:pos="9072"/>
      </w:tabs>
    </w:pPr>
    <w:rPr>
      <w:i/>
      <w:sz w:val="14"/>
      <w:u w:val="single"/>
    </w:rPr>
  </w:style>
  <w:style w:type="character" w:styleId="Nmerodepgina">
    <w:name w:val="page number"/>
    <w:basedOn w:val="Fuentedeprrafopredeter"/>
    <w:semiHidden/>
    <w:rsid w:val="00EF5641"/>
    <w:rPr>
      <w:sz w:val="14"/>
    </w:rPr>
  </w:style>
  <w:style w:type="paragraph" w:styleId="Piedepgina">
    <w:name w:val="footer"/>
    <w:basedOn w:val="Normal"/>
    <w:semiHidden/>
    <w:rsid w:val="00EF5641"/>
    <w:pPr>
      <w:tabs>
        <w:tab w:val="center" w:pos="4252"/>
        <w:tab w:val="right" w:pos="9072"/>
      </w:tabs>
    </w:pPr>
    <w:rPr>
      <w:i/>
      <w:sz w:val="14"/>
    </w:rPr>
  </w:style>
  <w:style w:type="paragraph" w:styleId="TDC1">
    <w:name w:val="toc 1"/>
    <w:basedOn w:val="Normal"/>
    <w:next w:val="Normal"/>
    <w:autoRedefine/>
    <w:uiPriority w:val="39"/>
    <w:rsid w:val="003B3C12"/>
    <w:pPr>
      <w:spacing w:before="120" w:after="120"/>
      <w:jc w:val="left"/>
    </w:pPr>
    <w:rPr>
      <w:rFonts w:ascii="Calibri" w:hAnsi="Calibri"/>
      <w:b/>
      <w:bCs/>
      <w:caps/>
      <w:sz w:val="20"/>
    </w:rPr>
  </w:style>
  <w:style w:type="paragraph" w:customStyle="1" w:styleId="Titulofigura">
    <w:name w:val="Titulo figura"/>
    <w:basedOn w:val="Normal"/>
    <w:rsid w:val="00A24CF9"/>
    <w:pPr>
      <w:numPr>
        <w:numId w:val="6"/>
      </w:numPr>
      <w:ind w:left="0" w:firstLine="0"/>
      <w:jc w:val="center"/>
    </w:pPr>
    <w:rPr>
      <w:b/>
    </w:rPr>
  </w:style>
  <w:style w:type="paragraph" w:customStyle="1" w:styleId="Titulocuadro">
    <w:name w:val="Titulo cuadro"/>
    <w:basedOn w:val="Normal"/>
    <w:next w:val="Cuadro"/>
    <w:rsid w:val="00B35FF5"/>
    <w:pPr>
      <w:numPr>
        <w:numId w:val="5"/>
      </w:numPr>
      <w:jc w:val="center"/>
    </w:pPr>
    <w:rPr>
      <w:b/>
    </w:rPr>
  </w:style>
  <w:style w:type="table" w:styleId="Tablaconcuadrcula">
    <w:name w:val="Table Grid"/>
    <w:basedOn w:val="Tablanormal"/>
    <w:uiPriority w:val="59"/>
    <w:rsid w:val="003D653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Foto">
    <w:name w:val="Titulo Foto"/>
    <w:basedOn w:val="Normal"/>
    <w:rsid w:val="00B35FF5"/>
    <w:pPr>
      <w:numPr>
        <w:numId w:val="8"/>
      </w:numPr>
      <w:spacing w:before="4"/>
    </w:pPr>
    <w:rPr>
      <w:sz w:val="18"/>
      <w:szCs w:val="18"/>
    </w:rPr>
  </w:style>
  <w:style w:type="paragraph" w:styleId="TDC2">
    <w:name w:val="toc 2"/>
    <w:basedOn w:val="Normal"/>
    <w:next w:val="Normal"/>
    <w:autoRedefine/>
    <w:uiPriority w:val="39"/>
    <w:rsid w:val="003B3C12"/>
    <w:pPr>
      <w:ind w:left="240"/>
      <w:jc w:val="left"/>
    </w:pPr>
    <w:rPr>
      <w:rFonts w:ascii="Calibri" w:hAnsi="Calibri"/>
      <w:smallCaps/>
      <w:sz w:val="20"/>
    </w:rPr>
  </w:style>
  <w:style w:type="paragraph" w:styleId="TDC3">
    <w:name w:val="toc 3"/>
    <w:basedOn w:val="Normal"/>
    <w:next w:val="Normal"/>
    <w:autoRedefine/>
    <w:uiPriority w:val="39"/>
    <w:rsid w:val="003B3C12"/>
    <w:pPr>
      <w:ind w:left="480"/>
      <w:jc w:val="left"/>
    </w:pPr>
    <w:rPr>
      <w:rFonts w:ascii="Calibri" w:hAnsi="Calibri"/>
      <w:i/>
      <w:iCs/>
      <w:sz w:val="20"/>
    </w:rPr>
  </w:style>
  <w:style w:type="paragraph" w:styleId="TDC4">
    <w:name w:val="toc 4"/>
    <w:basedOn w:val="Normal"/>
    <w:next w:val="Normal"/>
    <w:autoRedefine/>
    <w:semiHidden/>
    <w:rsid w:val="003B3C12"/>
    <w:pPr>
      <w:ind w:left="720"/>
      <w:jc w:val="left"/>
    </w:pPr>
    <w:rPr>
      <w:rFonts w:ascii="Calibri" w:hAnsi="Calibri"/>
      <w:sz w:val="18"/>
      <w:szCs w:val="18"/>
    </w:rPr>
  </w:style>
  <w:style w:type="character" w:styleId="Hipervnculo">
    <w:name w:val="Hyperlink"/>
    <w:basedOn w:val="Fuentedeprrafopredeter"/>
    <w:uiPriority w:val="99"/>
    <w:rsid w:val="003B3C12"/>
    <w:rPr>
      <w:color w:val="0000FF"/>
      <w:u w:val="single"/>
    </w:rPr>
  </w:style>
  <w:style w:type="numbering" w:customStyle="1" w:styleId="Estilo4">
    <w:name w:val="Estilo4"/>
    <w:rsid w:val="009C099B"/>
    <w:pPr>
      <w:numPr>
        <w:numId w:val="13"/>
      </w:numPr>
    </w:pPr>
  </w:style>
  <w:style w:type="paragraph" w:styleId="Prrafodelista">
    <w:name w:val="List Paragraph"/>
    <w:basedOn w:val="Normal"/>
    <w:uiPriority w:val="34"/>
    <w:qFormat/>
    <w:rsid w:val="002C594D"/>
    <w:pPr>
      <w:ind w:left="720"/>
      <w:contextualSpacing/>
    </w:pPr>
  </w:style>
  <w:style w:type="paragraph" w:styleId="Textonotapie">
    <w:name w:val="footnote text"/>
    <w:basedOn w:val="Normal"/>
    <w:link w:val="TextonotapieCar"/>
    <w:uiPriority w:val="99"/>
    <w:semiHidden/>
    <w:unhideWhenUsed/>
    <w:rsid w:val="00AC5278"/>
    <w:rPr>
      <w:sz w:val="20"/>
    </w:rPr>
  </w:style>
  <w:style w:type="character" w:customStyle="1" w:styleId="TextonotapieCar">
    <w:name w:val="Texto nota pie Car"/>
    <w:basedOn w:val="Fuentedeprrafopredeter"/>
    <w:link w:val="Textonotapie"/>
    <w:uiPriority w:val="99"/>
    <w:semiHidden/>
    <w:rsid w:val="00AC5278"/>
    <w:rPr>
      <w:rFonts w:ascii="Arial" w:hAnsi="Arial"/>
      <w:spacing w:val="-3"/>
      <w:lang w:val="es-ES_tradnl" w:eastAsia="es-ES"/>
    </w:rPr>
  </w:style>
  <w:style w:type="character" w:styleId="Refdenotaalpie">
    <w:name w:val="footnote reference"/>
    <w:basedOn w:val="Fuentedeprrafopredeter"/>
    <w:uiPriority w:val="99"/>
    <w:semiHidden/>
    <w:unhideWhenUsed/>
    <w:rsid w:val="00AC5278"/>
    <w:rPr>
      <w:vertAlign w:val="superscript"/>
    </w:rPr>
  </w:style>
  <w:style w:type="paragraph" w:styleId="TtulodeTDC">
    <w:name w:val="TOC Heading"/>
    <w:basedOn w:val="Ttulo1"/>
    <w:next w:val="Normal"/>
    <w:uiPriority w:val="39"/>
    <w:semiHidden/>
    <w:unhideWhenUsed/>
    <w:qFormat/>
    <w:rsid w:val="00E13F1E"/>
    <w:pPr>
      <w:keepLines/>
      <w:widowControl/>
      <w:numPr>
        <w:numId w:val="0"/>
      </w:numPr>
      <w:spacing w:before="480" w:line="276" w:lineRule="auto"/>
      <w:jc w:val="left"/>
      <w:outlineLvl w:val="9"/>
    </w:pPr>
    <w:rPr>
      <w:rFonts w:ascii="Cambria" w:hAnsi="Cambria"/>
      <w:bCs/>
      <w:caps w:val="0"/>
      <w:color w:val="365F91"/>
      <w:spacing w:val="0"/>
      <w:szCs w:val="28"/>
      <w:lang w:val="es-ES" w:eastAsia="en-US"/>
    </w:rPr>
  </w:style>
  <w:style w:type="paragraph" w:styleId="TDC5">
    <w:name w:val="toc 5"/>
    <w:basedOn w:val="Normal"/>
    <w:next w:val="Normal"/>
    <w:autoRedefine/>
    <w:uiPriority w:val="39"/>
    <w:unhideWhenUsed/>
    <w:rsid w:val="00E13F1E"/>
    <w:pPr>
      <w:ind w:left="960"/>
      <w:jc w:val="left"/>
    </w:pPr>
    <w:rPr>
      <w:rFonts w:ascii="Calibri" w:hAnsi="Calibri"/>
      <w:sz w:val="18"/>
      <w:szCs w:val="18"/>
    </w:rPr>
  </w:style>
  <w:style w:type="paragraph" w:styleId="TDC6">
    <w:name w:val="toc 6"/>
    <w:basedOn w:val="Normal"/>
    <w:next w:val="Normal"/>
    <w:autoRedefine/>
    <w:uiPriority w:val="39"/>
    <w:unhideWhenUsed/>
    <w:rsid w:val="00E13F1E"/>
    <w:pPr>
      <w:ind w:left="1200"/>
      <w:jc w:val="left"/>
    </w:pPr>
    <w:rPr>
      <w:rFonts w:ascii="Calibri" w:hAnsi="Calibri"/>
      <w:sz w:val="18"/>
      <w:szCs w:val="18"/>
    </w:rPr>
  </w:style>
  <w:style w:type="paragraph" w:styleId="TDC7">
    <w:name w:val="toc 7"/>
    <w:basedOn w:val="Normal"/>
    <w:next w:val="Normal"/>
    <w:autoRedefine/>
    <w:uiPriority w:val="39"/>
    <w:unhideWhenUsed/>
    <w:rsid w:val="00E13F1E"/>
    <w:pPr>
      <w:ind w:left="1440"/>
      <w:jc w:val="left"/>
    </w:pPr>
    <w:rPr>
      <w:rFonts w:ascii="Calibri" w:hAnsi="Calibri"/>
      <w:sz w:val="18"/>
      <w:szCs w:val="18"/>
    </w:rPr>
  </w:style>
  <w:style w:type="paragraph" w:styleId="TDC8">
    <w:name w:val="toc 8"/>
    <w:basedOn w:val="Normal"/>
    <w:next w:val="Normal"/>
    <w:autoRedefine/>
    <w:uiPriority w:val="39"/>
    <w:unhideWhenUsed/>
    <w:rsid w:val="00E13F1E"/>
    <w:pPr>
      <w:ind w:left="1680"/>
      <w:jc w:val="left"/>
    </w:pPr>
    <w:rPr>
      <w:rFonts w:ascii="Calibri" w:hAnsi="Calibri"/>
      <w:sz w:val="18"/>
      <w:szCs w:val="18"/>
    </w:rPr>
  </w:style>
  <w:style w:type="paragraph" w:styleId="TDC9">
    <w:name w:val="toc 9"/>
    <w:basedOn w:val="Normal"/>
    <w:next w:val="Normal"/>
    <w:autoRedefine/>
    <w:uiPriority w:val="39"/>
    <w:unhideWhenUsed/>
    <w:rsid w:val="00E13F1E"/>
    <w:pPr>
      <w:ind w:left="1920"/>
      <w:jc w:val="left"/>
    </w:pPr>
    <w:rPr>
      <w:rFonts w:ascii="Calibri" w:hAnsi="Calibri"/>
      <w:sz w:val="18"/>
      <w:szCs w:val="18"/>
    </w:rPr>
  </w:style>
  <w:style w:type="paragraph" w:customStyle="1" w:styleId="Standard">
    <w:name w:val="Standard"/>
    <w:rsid w:val="005929DB"/>
    <w:pPr>
      <w:suppressAutoHyphens/>
      <w:autoSpaceDN w:val="0"/>
      <w:textAlignment w:val="baseline"/>
    </w:pPr>
    <w:rPr>
      <w:kern w:val="3"/>
      <w:lang w:eastAsia="es-CL"/>
    </w:rPr>
  </w:style>
  <w:style w:type="paragraph" w:customStyle="1" w:styleId="Textodenotaalfinal">
    <w:name w:val="Texto de nota al final"/>
    <w:basedOn w:val="Standard"/>
    <w:rsid w:val="005929DB"/>
    <w:pPr>
      <w:widowControl w:val="0"/>
    </w:pPr>
    <w:rPr>
      <w:rFonts w:ascii="Courier New" w:hAnsi="Courier New"/>
      <w:sz w:val="24"/>
    </w:rPr>
  </w:style>
  <w:style w:type="numbering" w:customStyle="1" w:styleId="WW8Num3">
    <w:name w:val="WW8Num3"/>
    <w:basedOn w:val="Sinlista"/>
    <w:rsid w:val="00BC6D68"/>
    <w:pPr>
      <w:numPr>
        <w:numId w:val="25"/>
      </w:numPr>
    </w:pPr>
  </w:style>
  <w:style w:type="paragraph" w:styleId="Textonotaalfinal">
    <w:name w:val="endnote text"/>
    <w:basedOn w:val="Normal"/>
    <w:link w:val="TextonotaalfinalCar"/>
    <w:uiPriority w:val="99"/>
    <w:semiHidden/>
    <w:unhideWhenUsed/>
    <w:rsid w:val="00295D4B"/>
    <w:rPr>
      <w:sz w:val="20"/>
    </w:rPr>
  </w:style>
  <w:style w:type="character" w:customStyle="1" w:styleId="TextonotaalfinalCar">
    <w:name w:val="Texto nota al final Car"/>
    <w:basedOn w:val="Fuentedeprrafopredeter"/>
    <w:link w:val="Textonotaalfinal"/>
    <w:uiPriority w:val="99"/>
    <w:semiHidden/>
    <w:rsid w:val="00295D4B"/>
    <w:rPr>
      <w:rFonts w:ascii="Arial" w:hAnsi="Arial"/>
      <w:spacing w:val="-3"/>
      <w:lang w:val="es-ES_tradnl"/>
    </w:rPr>
  </w:style>
  <w:style w:type="character" w:styleId="Refdenotaalfinal">
    <w:name w:val="endnote reference"/>
    <w:basedOn w:val="Fuentedeprrafopredeter"/>
    <w:uiPriority w:val="99"/>
    <w:semiHidden/>
    <w:unhideWhenUsed/>
    <w:rsid w:val="00295D4B"/>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B9483-2A7E-4890-AEDA-DBDDEC765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2568</Words>
  <Characters>14125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CAPÍTULO 1: INTRODUCCIÓN</vt:lpstr>
    </vt:vector>
  </TitlesOfParts>
  <Company>Suroeste Consultores Ltda</Company>
  <LinksUpToDate>false</LinksUpToDate>
  <CharactersWithSpaces>16660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 INTRODUCCIÓN</dc:title>
  <dc:subject/>
  <dc:creator>Wladimir Matulic</dc:creator>
  <cp:keywords/>
  <cp:lastModifiedBy>.</cp:lastModifiedBy>
  <cp:revision>2</cp:revision>
  <cp:lastPrinted>2009-07-27T16:10:00Z</cp:lastPrinted>
  <dcterms:created xsi:type="dcterms:W3CDTF">2015-01-28T13:54:00Z</dcterms:created>
  <dcterms:modified xsi:type="dcterms:W3CDTF">2015-01-28T13:54:00Z</dcterms:modified>
</cp:coreProperties>
</file>