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89A" w:rsidRDefault="00A1089A" w:rsidP="00A1089A">
      <w:pPr>
        <w:jc w:val="center"/>
        <w:rPr>
          <w:rFonts w:ascii="Arial" w:hAnsi="Arial" w:cs="Arial"/>
          <w:b/>
          <w:sz w:val="20"/>
          <w:szCs w:val="20"/>
        </w:rPr>
      </w:pPr>
      <w:r w:rsidRPr="00A1089A">
        <w:rPr>
          <w:rFonts w:ascii="Arial" w:hAnsi="Arial" w:cs="Arial"/>
          <w:b/>
          <w:sz w:val="20"/>
          <w:szCs w:val="20"/>
        </w:rPr>
        <w:t>MODIFICACIÓN</w:t>
      </w:r>
      <w:r>
        <w:rPr>
          <w:rFonts w:ascii="Arial" w:hAnsi="Arial" w:cs="Arial"/>
          <w:b/>
          <w:sz w:val="20"/>
          <w:szCs w:val="20"/>
        </w:rPr>
        <w:t xml:space="preserve"> </w:t>
      </w:r>
      <w:r w:rsidRPr="00A1089A">
        <w:rPr>
          <w:rFonts w:ascii="Arial" w:hAnsi="Arial" w:cs="Arial"/>
          <w:b/>
          <w:sz w:val="20"/>
          <w:szCs w:val="20"/>
        </w:rPr>
        <w:t>DEL PLAN REGULA</w:t>
      </w:r>
      <w:r>
        <w:rPr>
          <w:rFonts w:ascii="Arial" w:hAnsi="Arial" w:cs="Arial"/>
          <w:b/>
          <w:sz w:val="20"/>
          <w:szCs w:val="20"/>
        </w:rPr>
        <w:t>D</w:t>
      </w:r>
      <w:r w:rsidRPr="00A1089A">
        <w:rPr>
          <w:rFonts w:ascii="Arial" w:hAnsi="Arial" w:cs="Arial"/>
          <w:b/>
          <w:sz w:val="20"/>
          <w:szCs w:val="20"/>
        </w:rPr>
        <w:t>OR COMUNAL DE SAN MIGUEL</w:t>
      </w:r>
      <w:bookmarkStart w:id="0" w:name="_GoBack"/>
      <w:bookmarkEnd w:id="0"/>
    </w:p>
    <w:p w:rsidR="00A1089A" w:rsidRDefault="00A1089A" w:rsidP="00A1089A">
      <w:pPr>
        <w:jc w:val="center"/>
        <w:rPr>
          <w:rFonts w:ascii="Arial" w:hAnsi="Arial" w:cs="Arial"/>
          <w:b/>
          <w:sz w:val="20"/>
          <w:szCs w:val="20"/>
        </w:rPr>
      </w:pPr>
      <w:r>
        <w:rPr>
          <w:rFonts w:ascii="Arial" w:hAnsi="Arial" w:cs="Arial"/>
          <w:b/>
          <w:sz w:val="20"/>
          <w:szCs w:val="20"/>
        </w:rPr>
        <w:t xml:space="preserve">INFORME </w:t>
      </w:r>
      <w:r w:rsidR="0014096C">
        <w:rPr>
          <w:rFonts w:ascii="Arial" w:hAnsi="Arial" w:cs="Arial"/>
          <w:b/>
          <w:sz w:val="20"/>
          <w:szCs w:val="20"/>
        </w:rPr>
        <w:t xml:space="preserve">DE </w:t>
      </w:r>
      <w:r w:rsidR="00B77B4A">
        <w:rPr>
          <w:rFonts w:ascii="Arial" w:hAnsi="Arial" w:cs="Arial"/>
          <w:b/>
          <w:sz w:val="20"/>
          <w:szCs w:val="20"/>
        </w:rPr>
        <w:t>PRIMERA ETAPA</w:t>
      </w:r>
      <w:r w:rsidR="002B576F">
        <w:rPr>
          <w:rFonts w:ascii="Arial" w:hAnsi="Arial" w:cs="Arial"/>
          <w:b/>
          <w:sz w:val="20"/>
          <w:szCs w:val="20"/>
        </w:rPr>
        <w:t xml:space="preserve"> _ SECTOR EL TATIO</w:t>
      </w:r>
    </w:p>
    <w:p w:rsidR="002977C2" w:rsidRPr="00AC1963" w:rsidRDefault="00AC1963" w:rsidP="00AC1963">
      <w:pPr>
        <w:jc w:val="right"/>
        <w:rPr>
          <w:rFonts w:ascii="Arial" w:hAnsi="Arial" w:cs="Arial"/>
          <w:b/>
          <w:sz w:val="16"/>
          <w:szCs w:val="16"/>
          <w:u w:val="single"/>
        </w:rPr>
      </w:pPr>
      <w:r w:rsidRPr="00AC1963">
        <w:rPr>
          <w:rFonts w:ascii="Arial" w:hAnsi="Arial" w:cs="Arial"/>
          <w:b/>
          <w:sz w:val="16"/>
          <w:szCs w:val="16"/>
          <w:u w:val="single"/>
        </w:rPr>
        <w:t>REV OCTUBRE DE 2013</w:t>
      </w:r>
    </w:p>
    <w:p w:rsidR="00A1089A" w:rsidRPr="002977C2" w:rsidRDefault="00A1089A" w:rsidP="00A1089A">
      <w:pPr>
        <w:pStyle w:val="Prrafodelista"/>
        <w:numPr>
          <w:ilvl w:val="0"/>
          <w:numId w:val="1"/>
        </w:numPr>
        <w:jc w:val="both"/>
      </w:pPr>
      <w:r w:rsidRPr="002977C2">
        <w:rPr>
          <w:b/>
        </w:rPr>
        <w:t>ALCANCE.</w:t>
      </w:r>
      <w:r>
        <w:t xml:space="preserve"> Este </w:t>
      </w:r>
      <w:r w:rsidR="00B77B4A">
        <w:t>I</w:t>
      </w:r>
      <w:r>
        <w:t xml:space="preserve">nforme </w:t>
      </w:r>
      <w:r w:rsidR="00B77B4A">
        <w:t xml:space="preserve">de Primera Etapa </w:t>
      </w:r>
      <w:r>
        <w:t xml:space="preserve">se refiere a las actividades y consideraciones </w:t>
      </w:r>
      <w:r w:rsidR="0014096C" w:rsidRPr="00160125">
        <w:rPr>
          <w:rFonts w:cstheme="minorHAnsi"/>
        </w:rPr>
        <w:t>relativas a los servicios sanitarios y aguas lluvia relacionadas a</w:t>
      </w:r>
      <w:r w:rsidRPr="00160125">
        <w:rPr>
          <w:rFonts w:cstheme="minorHAnsi"/>
        </w:rPr>
        <w:t>l cambios de uso de suelo de</w:t>
      </w:r>
      <w:r w:rsidR="002B576F" w:rsidRPr="00160125">
        <w:rPr>
          <w:rFonts w:cstheme="minorHAnsi"/>
        </w:rPr>
        <w:t xml:space="preserve"> uno de</w:t>
      </w:r>
      <w:r w:rsidRPr="00160125">
        <w:rPr>
          <w:rFonts w:cstheme="minorHAnsi"/>
        </w:rPr>
        <w:t xml:space="preserve"> los dos sectores designados como prioritarios en el desarrollo del trabajo, apuntando al cambio de uso de suelo </w:t>
      </w:r>
      <w:r w:rsidR="00710FD9" w:rsidRPr="00160125">
        <w:rPr>
          <w:rFonts w:cstheme="minorHAnsi"/>
        </w:rPr>
        <w:t xml:space="preserve">actual </w:t>
      </w:r>
      <w:r w:rsidR="002B576F" w:rsidRPr="00160125">
        <w:rPr>
          <w:rFonts w:cstheme="minorHAnsi"/>
        </w:rPr>
        <w:t>de “</w:t>
      </w:r>
      <w:r w:rsidR="006D1130" w:rsidRPr="00160125">
        <w:rPr>
          <w:rFonts w:cstheme="minorHAnsi"/>
        </w:rPr>
        <w:t xml:space="preserve">Equipamiento y Áreas Verdes, Nivel Comunal: Equipamiento Recreacional y Deportivo </w:t>
      </w:r>
      <w:r w:rsidR="006D1130" w:rsidRPr="00160125">
        <w:rPr>
          <w:rFonts w:cstheme="minorHAnsi"/>
          <w:b/>
        </w:rPr>
        <w:t>EC-1</w:t>
      </w:r>
      <w:r w:rsidR="002B576F" w:rsidRPr="00160125">
        <w:rPr>
          <w:rFonts w:cstheme="minorHAnsi"/>
        </w:rPr>
        <w:t xml:space="preserve">” </w:t>
      </w:r>
      <w:r w:rsidRPr="00160125">
        <w:rPr>
          <w:rFonts w:cstheme="minorHAnsi"/>
        </w:rPr>
        <w:t>a “</w:t>
      </w:r>
      <w:r w:rsidR="000E4C4A" w:rsidRPr="00160125">
        <w:rPr>
          <w:rFonts w:cstheme="minorHAnsi"/>
          <w:b/>
        </w:rPr>
        <w:t>ZU-2</w:t>
      </w:r>
      <w:r w:rsidR="00E32E2B" w:rsidRPr="00160125">
        <w:rPr>
          <w:rFonts w:cstheme="minorHAnsi"/>
          <w:b/>
        </w:rPr>
        <w:t>’</w:t>
      </w:r>
      <w:r w:rsidR="000E4C4A" w:rsidRPr="00160125">
        <w:rPr>
          <w:rFonts w:cstheme="minorHAnsi"/>
        </w:rPr>
        <w:t xml:space="preserve"> Residencial de Renovación</w:t>
      </w:r>
      <w:r w:rsidRPr="00160125">
        <w:rPr>
          <w:rFonts w:cstheme="minorHAnsi"/>
        </w:rPr>
        <w:t>” en el sector El Tatio,</w:t>
      </w:r>
      <w:r w:rsidR="0014096C" w:rsidRPr="00160125">
        <w:rPr>
          <w:rFonts w:cstheme="minorHAnsi"/>
        </w:rPr>
        <w:t xml:space="preserve"> enfocán</w:t>
      </w:r>
      <w:r w:rsidRPr="00160125">
        <w:rPr>
          <w:rFonts w:cstheme="minorHAnsi"/>
        </w:rPr>
        <w:t>do</w:t>
      </w:r>
      <w:r w:rsidR="0014096C" w:rsidRPr="00160125">
        <w:rPr>
          <w:rFonts w:cstheme="minorHAnsi"/>
        </w:rPr>
        <w:t xml:space="preserve">se </w:t>
      </w:r>
      <w:r w:rsidRPr="00160125">
        <w:rPr>
          <w:rFonts w:cstheme="minorHAnsi"/>
        </w:rPr>
        <w:t xml:space="preserve"> en la factibilidad de </w:t>
      </w:r>
      <w:r w:rsidR="0014096C" w:rsidRPr="00160125">
        <w:rPr>
          <w:rFonts w:cstheme="minorHAnsi"/>
        </w:rPr>
        <w:t xml:space="preserve">los </w:t>
      </w:r>
      <w:r w:rsidRPr="00160125">
        <w:rPr>
          <w:rFonts w:cstheme="minorHAnsi"/>
        </w:rPr>
        <w:t>servicios sanitarios e infraestructura de aguas lluvia</w:t>
      </w:r>
      <w:r w:rsidR="0014096C" w:rsidRPr="00160125">
        <w:rPr>
          <w:rFonts w:cstheme="minorHAnsi"/>
        </w:rPr>
        <w:t xml:space="preserve"> para soportar estas modificaciones</w:t>
      </w:r>
      <w:r w:rsidRPr="00160125">
        <w:rPr>
          <w:rFonts w:cstheme="minorHAnsi"/>
        </w:rPr>
        <w:t>.</w:t>
      </w:r>
    </w:p>
    <w:p w:rsidR="002977C2" w:rsidRDefault="002977C2" w:rsidP="002977C2">
      <w:pPr>
        <w:pStyle w:val="Prrafodelista"/>
        <w:jc w:val="both"/>
      </w:pPr>
    </w:p>
    <w:p w:rsidR="00E461C5" w:rsidRDefault="00B048E2" w:rsidP="00A1089A">
      <w:pPr>
        <w:pStyle w:val="Prrafodelista"/>
        <w:numPr>
          <w:ilvl w:val="0"/>
          <w:numId w:val="1"/>
        </w:numPr>
        <w:jc w:val="both"/>
      </w:pPr>
      <w:r w:rsidRPr="002977C2">
        <w:rPr>
          <w:b/>
        </w:rPr>
        <w:t>INFRAESTRUCTURA</w:t>
      </w:r>
      <w:r w:rsidR="00313BD0" w:rsidRPr="002977C2">
        <w:rPr>
          <w:b/>
        </w:rPr>
        <w:t xml:space="preserve"> </w:t>
      </w:r>
      <w:r w:rsidR="00710FD9" w:rsidRPr="002977C2">
        <w:rPr>
          <w:b/>
        </w:rPr>
        <w:t xml:space="preserve">DISPONIBLE </w:t>
      </w:r>
      <w:r w:rsidR="00313BD0" w:rsidRPr="002977C2">
        <w:rPr>
          <w:b/>
        </w:rPr>
        <w:t>DE SERVICIOS</w:t>
      </w:r>
      <w:r w:rsidR="00A1089A">
        <w:t xml:space="preserve">. </w:t>
      </w:r>
      <w:r w:rsidR="00313BD0">
        <w:t xml:space="preserve">A partir de los </w:t>
      </w:r>
      <w:r w:rsidR="00A1089A">
        <w:t>antecedentes básicos a</w:t>
      </w:r>
      <w:r w:rsidR="00313BD0">
        <w:t>portados por</w:t>
      </w:r>
      <w:r w:rsidR="00A1089A">
        <w:t xml:space="preserve"> los organismos pertinentes</w:t>
      </w:r>
      <w:r w:rsidR="00313BD0">
        <w:t xml:space="preserve"> se ha configurado los</w:t>
      </w:r>
      <w:r w:rsidR="00E461C5">
        <w:t xml:space="preserve"> plano</w:t>
      </w:r>
      <w:r w:rsidR="00313BD0">
        <w:t>s que detallan la</w:t>
      </w:r>
      <w:r w:rsidR="00E461C5">
        <w:t xml:space="preserve"> situación general en la comuna para cada aspecto</w:t>
      </w:r>
      <w:r w:rsidR="00313BD0">
        <w:t xml:space="preserve"> considerado</w:t>
      </w:r>
      <w:r w:rsidR="00E461C5">
        <w:t xml:space="preserve">, </w:t>
      </w:r>
      <w:r w:rsidR="005E5DB4">
        <w:t xml:space="preserve">y que se explica </w:t>
      </w:r>
      <w:r w:rsidR="00E461C5">
        <w:t>como sigue.</w:t>
      </w:r>
    </w:p>
    <w:p w:rsidR="00443DA5" w:rsidRDefault="00E461C5" w:rsidP="00B048E2">
      <w:pPr>
        <w:pStyle w:val="Prrafodelista"/>
        <w:numPr>
          <w:ilvl w:val="1"/>
          <w:numId w:val="1"/>
        </w:numPr>
        <w:ind w:left="709" w:firstLine="0"/>
        <w:jc w:val="both"/>
      </w:pPr>
      <w:r w:rsidRPr="002977C2">
        <w:rPr>
          <w:b/>
        </w:rPr>
        <w:t>Agua Potable.</w:t>
      </w:r>
      <w:r>
        <w:t xml:space="preserve"> </w:t>
      </w:r>
      <w:r w:rsidR="00313BD0">
        <w:t>El</w:t>
      </w:r>
      <w:r>
        <w:t xml:space="preserve"> Plan de Desarrollo de Aguas Andinas </w:t>
      </w:r>
      <w:r w:rsidR="00710FD9">
        <w:t xml:space="preserve">S.A. </w:t>
      </w:r>
      <w:r>
        <w:t xml:space="preserve">para el Gran Santiago </w:t>
      </w:r>
      <w:r w:rsidR="00313BD0">
        <w:t xml:space="preserve">en su versión de actualización para </w:t>
      </w:r>
      <w:r w:rsidR="00804A10">
        <w:t>el</w:t>
      </w:r>
      <w:r>
        <w:t xml:space="preserve"> quinquenio 2010-2014, </w:t>
      </w:r>
      <w:r w:rsidR="00313BD0">
        <w:t>recientemente</w:t>
      </w:r>
      <w:r>
        <w:t xml:space="preserve"> aprobado por la Superintendencia de Servicios Sanitarios (SISS), </w:t>
      </w:r>
      <w:r w:rsidR="00313BD0">
        <w:t xml:space="preserve">permite reseñar la condición presente y la planificación </w:t>
      </w:r>
      <w:r>
        <w:t xml:space="preserve">del sistema de agua potable en la comuna de San Miguel, que básicamente señala que la comuna se abastece de recursos exclusivamente superficiales de la cuenca del río Maipo, tratados para su potabilización en el complejo de plantas Antonio Tagle y </w:t>
      </w:r>
      <w:r w:rsidR="002B576F">
        <w:t xml:space="preserve">planta </w:t>
      </w:r>
      <w:r>
        <w:t xml:space="preserve">La Florida, transportados por los Acueductos Bajos de Laguna Negra y Paralelo </w:t>
      </w:r>
      <w:r w:rsidR="00B048E2">
        <w:t xml:space="preserve">(y eventualmente mediante traspasos desde el Tercer Acueducto) </w:t>
      </w:r>
      <w:r>
        <w:t xml:space="preserve">hacia los </w:t>
      </w:r>
      <w:r w:rsidR="00710FD9">
        <w:t xml:space="preserve">3 </w:t>
      </w:r>
      <w:r>
        <w:t>estanque de almacenamiento Departamental Bajo</w:t>
      </w:r>
      <w:r w:rsidR="00B048E2">
        <w:t xml:space="preserve"> (30000 m</w:t>
      </w:r>
      <w:r w:rsidR="00B048E2" w:rsidRPr="005E5DB4">
        <w:rPr>
          <w:vertAlign w:val="superscript"/>
        </w:rPr>
        <w:t>3</w:t>
      </w:r>
      <w:r w:rsidR="00B048E2">
        <w:t xml:space="preserve"> con cota de radier 632)</w:t>
      </w:r>
      <w:r w:rsidR="0085563B">
        <w:t>, los que alimentan</w:t>
      </w:r>
      <w:r w:rsidR="00ED31AC">
        <w:t xml:space="preserve"> al Sistema de Distribución</w:t>
      </w:r>
      <w:r w:rsidR="00AF74EA">
        <w:t xml:space="preserve"> 7</w:t>
      </w:r>
      <w:r w:rsidR="00ED31AC">
        <w:t xml:space="preserve"> conformado por</w:t>
      </w:r>
      <w:r w:rsidR="005E5DB4">
        <w:t xml:space="preserve"> tres S</w:t>
      </w:r>
      <w:r w:rsidR="0085563B">
        <w:t xml:space="preserve">ectores de </w:t>
      </w:r>
      <w:r w:rsidR="005E5DB4">
        <w:t>D</w:t>
      </w:r>
      <w:r w:rsidR="0085563B">
        <w:t>istribución conectados en serie: Departamental Bajo (A09), Interconectado Norte (A10) y Los Pozos (A11); las transferencias entre estos sectores está regulada por estaciones reductoras de presión</w:t>
      </w:r>
      <w:r w:rsidR="00B048E2">
        <w:t xml:space="preserve"> para limitarla a los niveles de norma y optimizar la distribución mayor</w:t>
      </w:r>
      <w:r w:rsidR="0085563B">
        <w:t>. Lo indicado está graficado en la Figura 1 en la página siguiente, destaca</w:t>
      </w:r>
      <w:r w:rsidR="005E5DB4">
        <w:t>ndo</w:t>
      </w:r>
      <w:r w:rsidR="0085563B">
        <w:t xml:space="preserve"> que San Miguel es parte del Sector Interconectado Norte, que c</w:t>
      </w:r>
      <w:r w:rsidR="002B576F">
        <w:t xml:space="preserve">ontando </w:t>
      </w:r>
      <w:r w:rsidR="0085563B">
        <w:t>con</w:t>
      </w:r>
      <w:r w:rsidR="002B576F">
        <w:t xml:space="preserve"> sólo</w:t>
      </w:r>
      <w:r w:rsidR="0085563B">
        <w:t xml:space="preserve"> el 2,89% de la población servida del Gran Santiago demanda </w:t>
      </w:r>
      <w:r w:rsidR="00667441">
        <w:t>el 3,78% del consumo</w:t>
      </w:r>
      <w:r w:rsidR="0085563B">
        <w:t>.</w:t>
      </w:r>
      <w:r w:rsidR="00ED31AC">
        <w:t xml:space="preserve"> La dotación asignada por Aguas Andinas al sector es elevada</w:t>
      </w:r>
      <w:r w:rsidR="00B048E2">
        <w:t>, 30% superior a la media del Gran Santiago,</w:t>
      </w:r>
      <w:r w:rsidR="00ED31AC">
        <w:t xml:space="preserve"> y prácticamente constante desde 2010 hasta 2024, con </w:t>
      </w:r>
      <w:r w:rsidR="002B576F">
        <w:t xml:space="preserve">unos </w:t>
      </w:r>
      <w:r w:rsidR="00ED31AC">
        <w:t>386 litros/habitante</w:t>
      </w:r>
      <w:r w:rsidR="00710FD9">
        <w:t>/</w:t>
      </w:r>
      <w:r w:rsidR="00ED31AC">
        <w:t>día.</w:t>
      </w:r>
      <w:r w:rsidR="0085563B">
        <w:t xml:space="preserve"> </w:t>
      </w:r>
      <w:r w:rsidR="00ED31AC">
        <w:t>La infraestructura de servicio en la comuna está dada solamente por las redes de distribución mayor del Sistema de Distribución</w:t>
      </w:r>
      <w:r w:rsidR="0085563B">
        <w:t xml:space="preserve"> </w:t>
      </w:r>
      <w:r w:rsidR="00AF74EA">
        <w:t>7, que la cruzan</w:t>
      </w:r>
      <w:r w:rsidR="00B048E2">
        <w:t xml:space="preserve"> de oriente a poniente</w:t>
      </w:r>
      <w:r w:rsidR="00AF74EA">
        <w:t xml:space="preserve">, y la red de distribución local que tiene 100% de cobertura. Se puede establecer que no existe restricción alguna para soportar cualquier demanda de agua potable puntual que se ejerza en la comuna, dada la relativa baja incidencia de la comuna en el esquema global del Gran Santiago, y que la alimentación mediante válvulas reguladoras de presión permiten, en caso de ser necesario, disponer </w:t>
      </w:r>
      <w:r w:rsidR="00443DA5">
        <w:t xml:space="preserve">eventualmente </w:t>
      </w:r>
      <w:r w:rsidR="00AF74EA">
        <w:t xml:space="preserve">de mayores caudales sobre los actuales que </w:t>
      </w:r>
      <w:r w:rsidR="005E5DB4">
        <w:lastRenderedPageBreak/>
        <w:t xml:space="preserve">normalmente </w:t>
      </w:r>
      <w:r w:rsidR="00AF74EA">
        <w:t>son restringidos</w:t>
      </w:r>
      <w:r w:rsidR="00443DA5">
        <w:t xml:space="preserve"> en forma automática</w:t>
      </w:r>
      <w:r w:rsidR="00AF74EA">
        <w:t xml:space="preserve"> por estos mecanismos</w:t>
      </w:r>
      <w:r w:rsidR="0002655D">
        <w:t xml:space="preserve">, o </w:t>
      </w:r>
      <w:r w:rsidR="005E5DB4">
        <w:t xml:space="preserve">complementarse </w:t>
      </w:r>
      <w:r w:rsidR="0002655D">
        <w:t>con traspasos desde</w:t>
      </w:r>
      <w:r w:rsidR="005E5DB4">
        <w:t xml:space="preserve"> los sectores</w:t>
      </w:r>
      <w:r w:rsidR="0002655D">
        <w:t xml:space="preserve"> Departamental Alto</w:t>
      </w:r>
      <w:r w:rsidR="005E5DB4">
        <w:t xml:space="preserve"> o</w:t>
      </w:r>
      <w:r w:rsidR="0002655D">
        <w:t xml:space="preserve"> Interconectado Medio</w:t>
      </w:r>
      <w:r w:rsidR="00B048E2">
        <w:t>; se dispone así de elevada seguridad de abastecimiento</w:t>
      </w:r>
      <w:r w:rsidR="002B576F">
        <w:t xml:space="preserve"> en cantidad y calidad</w:t>
      </w:r>
      <w:r w:rsidR="00AF74EA">
        <w:t>.</w:t>
      </w:r>
    </w:p>
    <w:p w:rsidR="0002655D" w:rsidRDefault="0002655D" w:rsidP="0002655D">
      <w:pPr>
        <w:pStyle w:val="Prrafodelista"/>
        <w:numPr>
          <w:ilvl w:val="0"/>
          <w:numId w:val="1"/>
        </w:numPr>
        <w:jc w:val="both"/>
        <w:sectPr w:rsidR="0002655D" w:rsidSect="001645B6">
          <w:pgSz w:w="12240" w:h="15840"/>
          <w:pgMar w:top="1417" w:right="1701" w:bottom="1417" w:left="1701" w:header="708" w:footer="708" w:gutter="0"/>
          <w:cols w:space="708"/>
          <w:docGrid w:linePitch="360"/>
        </w:sectPr>
      </w:pPr>
    </w:p>
    <w:p w:rsidR="000C649B" w:rsidRDefault="00F12064" w:rsidP="00F12064">
      <w:pPr>
        <w:jc w:val="center"/>
      </w:pPr>
      <w:r>
        <w:lastRenderedPageBreak/>
        <w:t>FIGURA 1. ESQUEMA DE FLUJO DE PRODUCCIÓN Y  DISTRIBUCIÓN MAYOR ASOCIADAS A LA COMUNA DE SAN MIGUEL.</w:t>
      </w:r>
    </w:p>
    <w:p w:rsidR="00443DA5" w:rsidRDefault="0002655D" w:rsidP="00443DA5">
      <w:pPr>
        <w:jc w:val="both"/>
        <w:sectPr w:rsidR="00443DA5" w:rsidSect="00443DA5">
          <w:pgSz w:w="15840" w:h="12240" w:orient="landscape"/>
          <w:pgMar w:top="1701" w:right="1417" w:bottom="1701" w:left="1417" w:header="708" w:footer="708" w:gutter="0"/>
          <w:cols w:space="708"/>
          <w:docGrid w:linePitch="360"/>
        </w:sectPr>
      </w:pPr>
      <w:r w:rsidRPr="0002655D">
        <w:rPr>
          <w:noProof/>
          <w:lang w:val="es-ES" w:eastAsia="es-ES"/>
        </w:rPr>
        <w:drawing>
          <wp:anchor distT="0" distB="0" distL="114300" distR="114300" simplePos="0" relativeHeight="251659264" behindDoc="0" locked="0" layoutInCell="1" allowOverlap="1">
            <wp:simplePos x="0" y="0"/>
            <wp:positionH relativeFrom="margin">
              <wp:align>center</wp:align>
            </wp:positionH>
            <wp:positionV relativeFrom="margin">
              <wp:posOffset>339090</wp:posOffset>
            </wp:positionV>
            <wp:extent cx="7823835" cy="5704205"/>
            <wp:effectExtent l="19050" t="0" r="571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823835" cy="5704205"/>
                    </a:xfrm>
                    <a:prstGeom prst="rect">
                      <a:avLst/>
                    </a:prstGeom>
                    <a:noFill/>
                    <a:ln w="9525">
                      <a:noFill/>
                      <a:miter lim="800000"/>
                      <a:headEnd/>
                      <a:tailEnd/>
                    </a:ln>
                  </pic:spPr>
                </pic:pic>
              </a:graphicData>
            </a:graphic>
          </wp:anchor>
        </w:drawing>
      </w:r>
    </w:p>
    <w:p w:rsidR="00F633D3" w:rsidRDefault="0002655D" w:rsidP="0002655D">
      <w:pPr>
        <w:pStyle w:val="Prrafodelista"/>
        <w:numPr>
          <w:ilvl w:val="0"/>
          <w:numId w:val="2"/>
        </w:numPr>
        <w:jc w:val="both"/>
      </w:pPr>
      <w:r w:rsidRPr="002977C2">
        <w:rPr>
          <w:b/>
        </w:rPr>
        <w:lastRenderedPageBreak/>
        <w:t>Alcantarillado sanitario.</w:t>
      </w:r>
      <w:r>
        <w:t xml:space="preserve"> También a partir de la información de</w:t>
      </w:r>
      <w:r w:rsidR="005E5DB4">
        <w:t xml:space="preserve"> </w:t>
      </w:r>
      <w:r>
        <w:t>l</w:t>
      </w:r>
      <w:r w:rsidR="005E5DB4">
        <w:t>a</w:t>
      </w:r>
      <w:r>
        <w:t xml:space="preserve"> </w:t>
      </w:r>
      <w:r w:rsidR="005E5DB4">
        <w:t xml:space="preserve">actualización del </w:t>
      </w:r>
      <w:r>
        <w:t>Plan de Desarrollo de Aguas Andinas</w:t>
      </w:r>
      <w:r w:rsidR="00710FD9">
        <w:t xml:space="preserve"> S.A.</w:t>
      </w:r>
      <w:r>
        <w:t xml:space="preserve"> para el Gran Santiago se ha conformado un plano general del sistema de alcantarillado de aguas servidas en la comuna de San Miguel, que muestra que la comuna está inmersa en el Área Tributaria La Farfana, que se </w:t>
      </w:r>
      <w:r w:rsidR="00623BE5">
        <w:t>caracteriza</w:t>
      </w:r>
      <w:r>
        <w:t xml:space="preserve"> por tener una cobertura de 100% de redes de recolección</w:t>
      </w:r>
      <w:r w:rsidR="00623BE5">
        <w:t>, las que operan</w:t>
      </w:r>
      <w:r>
        <w:t xml:space="preserve"> bajo el modo unitario</w:t>
      </w:r>
      <w:r w:rsidR="00E460FA">
        <w:t xml:space="preserve"> en su mayor parte</w:t>
      </w:r>
      <w:r>
        <w:t>, esto es, que comparte</w:t>
      </w:r>
      <w:r w:rsidR="00623BE5">
        <w:t>n</w:t>
      </w:r>
      <w:r>
        <w:t xml:space="preserve"> colectores </w:t>
      </w:r>
      <w:r w:rsidR="00623BE5">
        <w:t xml:space="preserve">de aguas servidas </w:t>
      </w:r>
      <w:r>
        <w:t>con el drenaje de aguas lluvia</w:t>
      </w:r>
      <w:r w:rsidR="008F17E9">
        <w:t xml:space="preserve">; </w:t>
      </w:r>
      <w:r w:rsidR="00E460FA">
        <w:t xml:space="preserve">la red de tipo separada está </w:t>
      </w:r>
      <w:r w:rsidR="00C40C20">
        <w:t>remitida al</w:t>
      </w:r>
      <w:r w:rsidR="00E460FA">
        <w:t xml:space="preserve"> cuadrángulo</w:t>
      </w:r>
      <w:r w:rsidR="00623BE5">
        <w:t xml:space="preserve"> en el vértice nor oriental de la comuna, conformado por </w:t>
      </w:r>
      <w:r w:rsidR="00E460FA">
        <w:t xml:space="preserve">las calles </w:t>
      </w:r>
      <w:r w:rsidR="00B74DAA">
        <w:t>Salesianos</w:t>
      </w:r>
      <w:r w:rsidR="00E460FA">
        <w:t>, Gran Avenida, Carlos Silva Vildósola y Santa Rosa. E</w:t>
      </w:r>
      <w:r w:rsidR="008F17E9">
        <w:t xml:space="preserve">l padrón de flujo de estos colectores es de dirección nor-poniente y norte, convergiendo </w:t>
      </w:r>
      <w:r w:rsidR="00623BE5">
        <w:t>por las avenidas Santa Rosa y José Joaquín P</w:t>
      </w:r>
      <w:r w:rsidR="005D1FD3">
        <w:t>riet</w:t>
      </w:r>
      <w:r w:rsidR="00710FD9">
        <w:t>o</w:t>
      </w:r>
      <w:r w:rsidR="00623BE5">
        <w:t xml:space="preserve"> </w:t>
      </w:r>
      <w:r w:rsidR="008F17E9">
        <w:t>al gran Colector Interceptor Zanjón de la Aguada, que conduce estas aguas a la Planta de Tratamiento La</w:t>
      </w:r>
      <w:r w:rsidR="00623BE5">
        <w:t xml:space="preserve"> Farfana, en la comuna de Maipú. Una vez</w:t>
      </w:r>
      <w:r w:rsidR="008F17E9">
        <w:t xml:space="preserve"> tratadas </w:t>
      </w:r>
      <w:r w:rsidR="00623BE5">
        <w:t xml:space="preserve">estas aguas son restituidas </w:t>
      </w:r>
      <w:r w:rsidR="008F17E9">
        <w:t>al río Mapocho. La</w:t>
      </w:r>
      <w:r w:rsidR="009247E7">
        <w:t>s</w:t>
      </w:r>
      <w:r w:rsidR="008F17E9">
        <w:t xml:space="preserve"> figura</w:t>
      </w:r>
      <w:r w:rsidR="009247E7">
        <w:t>s</w:t>
      </w:r>
      <w:r w:rsidR="008F17E9">
        <w:t xml:space="preserve"> </w:t>
      </w:r>
      <w:r w:rsidR="00623BE5">
        <w:t xml:space="preserve">2 y 3 </w:t>
      </w:r>
      <w:r w:rsidR="008F17E9">
        <w:t>en las páginas siguientes reseña</w:t>
      </w:r>
      <w:r w:rsidR="009247E7">
        <w:t>n</w:t>
      </w:r>
      <w:r w:rsidR="008F17E9">
        <w:t xml:space="preserve"> </w:t>
      </w:r>
      <w:r w:rsidR="00F633D3">
        <w:t xml:space="preserve">esquemáticamente </w:t>
      </w:r>
      <w:r w:rsidR="008F17E9">
        <w:t>la configuración de la red de colectores en la comuna</w:t>
      </w:r>
      <w:r w:rsidR="00623BE5">
        <w:t xml:space="preserve">, y </w:t>
      </w:r>
      <w:r w:rsidR="00F633D3">
        <w:t>se muestra su detalle en</w:t>
      </w:r>
      <w:r w:rsidR="00623BE5">
        <w:t xml:space="preserve"> el</w:t>
      </w:r>
      <w:r w:rsidR="00F633D3">
        <w:t xml:space="preserve"> plano de alcantarillado</w:t>
      </w:r>
      <w:r w:rsidR="00623BE5">
        <w:t xml:space="preserve"> con la</w:t>
      </w:r>
      <w:r w:rsidR="00DF5484">
        <w:t xml:space="preserve"> configuración del Área T</w:t>
      </w:r>
      <w:r w:rsidR="008F17E9">
        <w:t>ributaria La Farfana en su globalidad.</w:t>
      </w:r>
      <w:r w:rsidR="00F633D3">
        <w:t xml:space="preserve"> El Plan de Desarrollo de Aguas Andina</w:t>
      </w:r>
      <w:r w:rsidR="00DF5484">
        <w:t>s</w:t>
      </w:r>
      <w:r w:rsidR="00F633D3">
        <w:t xml:space="preserve"> incluye un análisis de oferta</w:t>
      </w:r>
      <w:r w:rsidR="00DF5484">
        <w:t>/</w:t>
      </w:r>
      <w:r w:rsidR="00F633D3">
        <w:t xml:space="preserve">demanda de servicios de alcantarillado, que, dentro de los supuestos de </w:t>
      </w:r>
      <w:r w:rsidR="000C649B">
        <w:t>bajo</w:t>
      </w:r>
      <w:r w:rsidR="00F633D3">
        <w:t xml:space="preserve"> crecimiento que se ha hecho para la comuna de San Miguel, indica que hasta </w:t>
      </w:r>
      <w:r w:rsidR="00623BE5">
        <w:t xml:space="preserve">el año </w:t>
      </w:r>
      <w:r w:rsidR="00F633D3">
        <w:t xml:space="preserve">2015 sólo será necesario </w:t>
      </w:r>
      <w:r w:rsidR="00EB2373">
        <w:t>reponer</w:t>
      </w:r>
      <w:r w:rsidR="00F633D3">
        <w:t xml:space="preserve"> </w:t>
      </w:r>
      <w:r w:rsidR="00710FD9">
        <w:t>en 2014</w:t>
      </w:r>
      <w:r w:rsidR="00C40C20">
        <w:t xml:space="preserve"> </w:t>
      </w:r>
      <w:r w:rsidR="00F633D3">
        <w:t>colectores</w:t>
      </w:r>
      <w:r w:rsidR="00EB2373">
        <w:t xml:space="preserve"> obsoletos</w:t>
      </w:r>
      <w:r w:rsidR="00F633D3">
        <w:t xml:space="preserve"> </w:t>
      </w:r>
      <w:r w:rsidR="002A53FE">
        <w:t>por calles Núremberg y Montreal</w:t>
      </w:r>
      <w:r w:rsidR="00F633D3">
        <w:t xml:space="preserve"> </w:t>
      </w:r>
      <w:r w:rsidR="002A53FE">
        <w:t>desde Sta. Rosa a Michelson (255 m) y Montecarmelo-Brigadier de la Cruz entre Sta. Rosa y Barros Grez (710 m), y en 2015 en calle Soto Aguilar entre Llano Subercaseaux y Los Castaños (346 m)</w:t>
      </w:r>
      <w:r w:rsidR="00EB2373">
        <w:t xml:space="preserve">. </w:t>
      </w:r>
      <w:r w:rsidR="002A53FE">
        <w:t xml:space="preserve"> </w:t>
      </w:r>
    </w:p>
    <w:p w:rsidR="001E382D" w:rsidRDefault="000016B0" w:rsidP="000016B0">
      <w:pPr>
        <w:pStyle w:val="Prrafodelista"/>
        <w:ind w:left="1068"/>
        <w:jc w:val="both"/>
      </w:pPr>
      <w:r>
        <w:t>La disposición de los colectores reseñados en la figura 2 permite destacar que e</w:t>
      </w:r>
      <w:r w:rsidR="00EA2693">
        <w:t>n la avenida S</w:t>
      </w:r>
      <w:r>
        <w:t xml:space="preserve">anta Rosa son interceptados todos los caudales </w:t>
      </w:r>
      <w:r w:rsidR="001E382D">
        <w:t xml:space="preserve"> de alcantarillado </w:t>
      </w:r>
      <w:r>
        <w:t xml:space="preserve">incidentes desde el oriente hacia la comuna, de modo que San Miguel está drenado por sub cuencas urbanas nacientes en su territorio y convergentes </w:t>
      </w:r>
      <w:r w:rsidR="001E382D">
        <w:t xml:space="preserve">finalmente al colector Interceptor Zanjón de la Aguada. </w:t>
      </w:r>
      <w:r w:rsidR="00C40C20">
        <w:t xml:space="preserve">No </w:t>
      </w:r>
      <w:r w:rsidR="00D273CF">
        <w:t>existen</w:t>
      </w:r>
      <w:r w:rsidR="00C40C20">
        <w:t xml:space="preserve"> plantas elevadoras</w:t>
      </w:r>
      <w:r w:rsidR="00D273CF">
        <w:t xml:space="preserve"> de aguas servidas.</w:t>
      </w:r>
    </w:p>
    <w:p w:rsidR="000016B0" w:rsidRDefault="001E382D" w:rsidP="000016B0">
      <w:pPr>
        <w:pStyle w:val="Prrafodelista"/>
        <w:ind w:left="1068"/>
        <w:jc w:val="both"/>
      </w:pPr>
      <w:r>
        <w:t>Al estar la comuna en un área urbana plenamente madura, con una demanda de servicio de alcantarillado prácticamente estable, y con los grandes diámetros correspondientes a la</w:t>
      </w:r>
      <w:r w:rsidR="00C40C20">
        <w:t>s</w:t>
      </w:r>
      <w:r>
        <w:t xml:space="preserve"> red</w:t>
      </w:r>
      <w:r w:rsidR="00C40C20">
        <w:t>es</w:t>
      </w:r>
      <w:r>
        <w:t xml:space="preserve"> unitaria</w:t>
      </w:r>
      <w:r w:rsidR="00C40C20">
        <w:t xml:space="preserve"> y separada ya construidos</w:t>
      </w:r>
      <w:r>
        <w:t xml:space="preserve">, no requiere innovar en su infraestructura general de recolección, y en particular podrá absorber las variaciones puntuales de </w:t>
      </w:r>
      <w:r w:rsidR="000016B0">
        <w:t xml:space="preserve"> </w:t>
      </w:r>
      <w:r>
        <w:t xml:space="preserve">demanda que puedan derivarse del cambio de uso de suelo aquí en estudio. </w:t>
      </w:r>
      <w:r w:rsidR="00232E39">
        <w:t xml:space="preserve">Sí será necesario mantener el programa de reposición de colectores en condición de </w:t>
      </w:r>
      <w:r w:rsidR="00EA2693">
        <w:t>obsolescencia</w:t>
      </w:r>
      <w:r w:rsidR="00232E39">
        <w:t>.</w:t>
      </w:r>
    </w:p>
    <w:p w:rsidR="00F633D3" w:rsidRDefault="00F633D3">
      <w:r>
        <w:br w:type="page"/>
      </w:r>
    </w:p>
    <w:p w:rsidR="00443DA5" w:rsidRDefault="00443DA5" w:rsidP="00F633D3">
      <w:pPr>
        <w:jc w:val="both"/>
      </w:pPr>
    </w:p>
    <w:p w:rsidR="00A65581" w:rsidRDefault="00A65581" w:rsidP="00A65581">
      <w:pPr>
        <w:jc w:val="center"/>
      </w:pPr>
      <w:r>
        <w:t>FIGURA 2. ESQUEMA DE FLUJO DE RED DE COLECTORES</w:t>
      </w:r>
      <w:r w:rsidR="00D273CF">
        <w:t xml:space="preserve"> </w:t>
      </w:r>
      <w:r>
        <w:t>UNITARIOS EN SAN MIGUEL.</w:t>
      </w:r>
    </w:p>
    <w:p w:rsidR="00F633D3" w:rsidRDefault="00F633D3" w:rsidP="00A65581">
      <w:pPr>
        <w:jc w:val="center"/>
      </w:pPr>
      <w:r>
        <w:rPr>
          <w:noProof/>
          <w:lang w:val="es-ES" w:eastAsia="es-ES"/>
        </w:rPr>
        <w:drawing>
          <wp:anchor distT="0" distB="0" distL="114300" distR="114300" simplePos="0" relativeHeight="251660288" behindDoc="0" locked="0" layoutInCell="1" allowOverlap="1">
            <wp:simplePos x="0" y="0"/>
            <wp:positionH relativeFrom="margin">
              <wp:align>center</wp:align>
            </wp:positionH>
            <wp:positionV relativeFrom="margin">
              <wp:posOffset>833755</wp:posOffset>
            </wp:positionV>
            <wp:extent cx="4398010" cy="6657975"/>
            <wp:effectExtent l="38100" t="19050" r="21590" b="2857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398010" cy="6657975"/>
                    </a:xfrm>
                    <a:prstGeom prst="rect">
                      <a:avLst/>
                    </a:prstGeom>
                    <a:noFill/>
                    <a:ln w="12700">
                      <a:solidFill>
                        <a:schemeClr val="tx1"/>
                      </a:solidFill>
                      <a:miter lim="800000"/>
                      <a:headEnd/>
                      <a:tailEnd/>
                    </a:ln>
                  </pic:spPr>
                </pic:pic>
              </a:graphicData>
            </a:graphic>
          </wp:anchor>
        </w:drawing>
      </w:r>
    </w:p>
    <w:p w:rsidR="00F633D3" w:rsidRDefault="00F633D3" w:rsidP="00F633D3">
      <w:pPr>
        <w:jc w:val="both"/>
        <w:sectPr w:rsidR="00F633D3" w:rsidSect="001645B6">
          <w:pgSz w:w="12240" w:h="15840"/>
          <w:pgMar w:top="1417" w:right="1701" w:bottom="1417" w:left="1701" w:header="708" w:footer="708" w:gutter="0"/>
          <w:cols w:space="708"/>
          <w:docGrid w:linePitch="360"/>
        </w:sectPr>
      </w:pPr>
    </w:p>
    <w:p w:rsidR="00EB2373" w:rsidRDefault="00A65581" w:rsidP="00A65581">
      <w:pPr>
        <w:jc w:val="center"/>
        <w:sectPr w:rsidR="00EB2373" w:rsidSect="00F633D3">
          <w:pgSz w:w="15840" w:h="12240" w:orient="landscape"/>
          <w:pgMar w:top="1701" w:right="1417" w:bottom="1701" w:left="1417" w:header="708" w:footer="708" w:gutter="0"/>
          <w:cols w:space="708"/>
          <w:docGrid w:linePitch="360"/>
        </w:sectPr>
      </w:pPr>
      <w:r>
        <w:rPr>
          <w:noProof/>
          <w:lang w:val="es-ES" w:eastAsia="es-ES"/>
        </w:rPr>
        <w:lastRenderedPageBreak/>
        <w:drawing>
          <wp:anchor distT="0" distB="0" distL="114300" distR="114300" simplePos="0" relativeHeight="251662336" behindDoc="0" locked="0" layoutInCell="1" allowOverlap="1">
            <wp:simplePos x="1397474" y="1282890"/>
            <wp:positionH relativeFrom="margin">
              <wp:align>center</wp:align>
            </wp:positionH>
            <wp:positionV relativeFrom="margin">
              <wp:align>bottom</wp:align>
            </wp:positionV>
            <wp:extent cx="7282502" cy="5213444"/>
            <wp:effectExtent l="1905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7282502" cy="5213444"/>
                    </a:xfrm>
                    <a:prstGeom prst="rect">
                      <a:avLst/>
                    </a:prstGeom>
                    <a:noFill/>
                    <a:ln w="9525">
                      <a:noFill/>
                      <a:miter lim="800000"/>
                      <a:headEnd/>
                      <a:tailEnd/>
                    </a:ln>
                  </pic:spPr>
                </pic:pic>
              </a:graphicData>
            </a:graphic>
          </wp:anchor>
        </w:drawing>
      </w:r>
      <w:r>
        <w:t>FIGURA 3.ÁREA  TRIBUTARIA DE RECOLE</w:t>
      </w:r>
      <w:r w:rsidR="00623BE5">
        <w:t>C</w:t>
      </w:r>
      <w:r>
        <w:t>CION DE AGUAS SERVIDAS LA FARAFANA.</w:t>
      </w:r>
    </w:p>
    <w:p w:rsidR="00BD0421" w:rsidRDefault="00EB2373" w:rsidP="00EB2373">
      <w:pPr>
        <w:pStyle w:val="Prrafodelista"/>
        <w:numPr>
          <w:ilvl w:val="0"/>
          <w:numId w:val="2"/>
        </w:numPr>
        <w:jc w:val="both"/>
      </w:pPr>
      <w:r w:rsidRPr="002977C2">
        <w:rPr>
          <w:b/>
        </w:rPr>
        <w:lastRenderedPageBreak/>
        <w:t>Alcantarillado de Aguas Lluvia.</w:t>
      </w:r>
      <w:r>
        <w:t xml:space="preserve"> Se ha </w:t>
      </w:r>
      <w:r w:rsidR="000016B0">
        <w:t>obtenido desde</w:t>
      </w:r>
      <w:r>
        <w:t xml:space="preserve"> la Dirección de Obras Hidráulicas del MOP la información de actualización de las obras </w:t>
      </w:r>
      <w:r w:rsidR="00DD0C45">
        <w:t xml:space="preserve">construidas a partir de lo </w:t>
      </w:r>
      <w:r w:rsidR="000016B0">
        <w:t>planifi</w:t>
      </w:r>
      <w:r w:rsidR="00DD0C45">
        <w:t>cado en el Plan Maestro de Aguas Lluvia del Gran Santiago, lo qu</w:t>
      </w:r>
      <w:r w:rsidR="0059186A">
        <w:t xml:space="preserve">e se reseña en el plano </w:t>
      </w:r>
      <w:r w:rsidR="00D273CF">
        <w:t xml:space="preserve">conjunto de alcantarillado y </w:t>
      </w:r>
      <w:r w:rsidR="0059186A">
        <w:t>de agua de</w:t>
      </w:r>
      <w:r w:rsidR="00DD0C45">
        <w:t xml:space="preserve"> lluvia que se acompaña; es</w:t>
      </w:r>
      <w:r w:rsidR="00BD0421">
        <w:t>t</w:t>
      </w:r>
      <w:r w:rsidR="00DD0C45">
        <w:t>a información  p</w:t>
      </w:r>
      <w:r w:rsidR="00BD0421">
        <w:t xml:space="preserve">ermite </w:t>
      </w:r>
      <w:r w:rsidR="00DD0C45">
        <w:t>tener una apreciación de las condiciones actuales de esa infraestructura y su relación con los cambios de usos de suelo en estudio. Se puede destacar que gracias a la existencia de buena capacidad de intercepción de escorrentía</w:t>
      </w:r>
      <w:r w:rsidR="00D273CF">
        <w:t xml:space="preserve"> tanto superficial como en redes</w:t>
      </w:r>
      <w:r w:rsidR="00DD0C45">
        <w:t xml:space="preserve"> en </w:t>
      </w:r>
      <w:r w:rsidR="00D273CF">
        <w:t xml:space="preserve">la </w:t>
      </w:r>
      <w:r w:rsidR="00DD0C45">
        <w:t>Avenida Santa Rosa</w:t>
      </w:r>
      <w:r w:rsidR="00232E39">
        <w:t xml:space="preserve"> gracias a los grandes colectores disponibles</w:t>
      </w:r>
      <w:r w:rsidR="00E460FA">
        <w:t>, la comuna de S</w:t>
      </w:r>
      <w:r w:rsidR="00DD0C45">
        <w:t xml:space="preserve">an Miguel opera como cabecera de una sub cuenca urbana, </w:t>
      </w:r>
      <w:r w:rsidR="00781315">
        <w:t>por lo que los caudales que la cruzan son originados en su frontera oriental, sin alcanzar grandes volúmenes, y son recolectados eficientemente por la red unitaria existente</w:t>
      </w:r>
      <w:r w:rsidR="00E460FA">
        <w:t xml:space="preserve"> en la mayor parte de la comuna</w:t>
      </w:r>
      <w:r w:rsidR="00781315">
        <w:t xml:space="preserve">. </w:t>
      </w:r>
      <w:r w:rsidR="00E460FA">
        <w:t>E</w:t>
      </w:r>
      <w:r w:rsidR="00781315">
        <w:t xml:space="preserve">sto es particularmente válido para los sectores de calles Tannenbaum y </w:t>
      </w:r>
      <w:r w:rsidR="00E460FA">
        <w:t>S</w:t>
      </w:r>
      <w:r w:rsidR="00781315">
        <w:t xml:space="preserve">anta </w:t>
      </w:r>
      <w:r w:rsidR="00B74DAA">
        <w:t>Fe</w:t>
      </w:r>
      <w:r w:rsidR="00781315">
        <w:t>, relacionados con los terrenos en estudio de cambio de uso de suelo en esta etapa</w:t>
      </w:r>
      <w:r w:rsidR="00D273CF">
        <w:t xml:space="preserve"> de</w:t>
      </w:r>
      <w:r w:rsidR="00781315">
        <w:t xml:space="preserve"> El </w:t>
      </w:r>
      <w:r w:rsidR="00B74DAA">
        <w:t>Tatio</w:t>
      </w:r>
      <w:r w:rsidR="00781315">
        <w:t>.</w:t>
      </w:r>
    </w:p>
    <w:p w:rsidR="00BA0D20" w:rsidRDefault="00BA0D20" w:rsidP="00BA0D20">
      <w:pPr>
        <w:pStyle w:val="Prrafodelista"/>
        <w:ind w:left="1068"/>
        <w:jc w:val="both"/>
      </w:pPr>
      <w:r>
        <w:t>La comuna es favorecida por la pendiente natural del terreno de su emplazamiento, típicamente con 1%, de dirección sur oriente a nor poniente, por lo que no se generan puntos importantes de anegamiento en su territorio; más aún, se cuenta con una muy nutrida dotación de sumideros de agua de lluvia conectada a colectores</w:t>
      </w:r>
      <w:r w:rsidR="0059186A">
        <w:t>, especialmente en torno a los sectores de El Tatio, los que han sido resaltados en el plano de agua lluvia. El diagnóstico del Plan Maestro indica que para precipitaciones con período de retorno superior a 10 años son esperables desbordes del canal San Carlos, con escurrimientos significativos hacia la ciudad, afectando puntualmente en San Miguel la Avda. Lo Ovalle</w:t>
      </w:r>
      <w:r w:rsidR="00D82014">
        <w:t xml:space="preserve"> en su encuentro con Av</w:t>
      </w:r>
      <w:r w:rsidR="00232E39">
        <w:t>eni</w:t>
      </w:r>
      <w:r w:rsidR="00D82014">
        <w:t>das</w:t>
      </w:r>
      <w:r w:rsidR="00232E39">
        <w:t xml:space="preserve"> </w:t>
      </w:r>
      <w:r w:rsidR="00D82014">
        <w:t xml:space="preserve"> Santa Rosa y J. J. Prieto</w:t>
      </w:r>
      <w:r w:rsidR="007F3813">
        <w:t>; estas contingencias pueden ser pasajeras, pues han sido abordadas en su solución mediante los grandes colectores Santa Rosa y Ochagavía, con descarga al Zanjón de la Aguada.</w:t>
      </w:r>
    </w:p>
    <w:p w:rsidR="007F3813" w:rsidRDefault="007F3813" w:rsidP="00BA0D20">
      <w:pPr>
        <w:pStyle w:val="Prrafodelista"/>
        <w:ind w:left="1068"/>
        <w:jc w:val="both"/>
      </w:pPr>
      <w:r>
        <w:t>Se puede concluir que</w:t>
      </w:r>
      <w:r w:rsidR="00232E39">
        <w:t xml:space="preserve"> tanto la comuna como </w:t>
      </w:r>
      <w:r w:rsidR="004C1D6A">
        <w:t>el</w:t>
      </w:r>
      <w:r>
        <w:t xml:space="preserve"> sector</w:t>
      </w:r>
      <w:r w:rsidR="004C1D6A">
        <w:t xml:space="preserve"> estudiado</w:t>
      </w:r>
      <w:r>
        <w:t xml:space="preserve"> para cambio de uso de suelo son servidos eficientemente por la red de colectores </w:t>
      </w:r>
      <w:r w:rsidR="00D273CF">
        <w:t xml:space="preserve">tanto </w:t>
      </w:r>
      <w:r>
        <w:t xml:space="preserve">unitarios </w:t>
      </w:r>
      <w:r w:rsidR="00D273CF">
        <w:t xml:space="preserve">como separados de agua de lluvia </w:t>
      </w:r>
      <w:r>
        <w:t>existente</w:t>
      </w:r>
      <w:r w:rsidR="00D273CF">
        <w:t>.</w:t>
      </w:r>
    </w:p>
    <w:p w:rsidR="00BD0421" w:rsidRPr="002977C2" w:rsidRDefault="00BD0421" w:rsidP="00EA2693">
      <w:pPr>
        <w:pStyle w:val="Prrafodelista"/>
        <w:numPr>
          <w:ilvl w:val="0"/>
          <w:numId w:val="1"/>
        </w:numPr>
        <w:rPr>
          <w:b/>
        </w:rPr>
      </w:pPr>
      <w:r>
        <w:br w:type="page"/>
      </w:r>
      <w:r w:rsidR="00EA2693" w:rsidRPr="002977C2">
        <w:rPr>
          <w:b/>
        </w:rPr>
        <w:lastRenderedPageBreak/>
        <w:t>FACTIBILIDAD DE SERVICIOS.</w:t>
      </w:r>
      <w:r w:rsidR="00EA2693" w:rsidRPr="002977C2">
        <w:rPr>
          <w:b/>
        </w:rPr>
        <w:tab/>
      </w:r>
    </w:p>
    <w:p w:rsidR="00EA2693" w:rsidRDefault="00EA2693" w:rsidP="0008407C">
      <w:pPr>
        <w:pStyle w:val="Prrafodelista"/>
        <w:numPr>
          <w:ilvl w:val="1"/>
          <w:numId w:val="1"/>
        </w:numPr>
        <w:jc w:val="both"/>
      </w:pPr>
      <w:r w:rsidRPr="002977C2">
        <w:rPr>
          <w:b/>
        </w:rPr>
        <w:t>Servicios sanitarios.</w:t>
      </w:r>
      <w:r w:rsidR="008C6B77">
        <w:rPr>
          <w:b/>
        </w:rPr>
        <w:t xml:space="preserve"> </w:t>
      </w:r>
      <w:r w:rsidR="00F5660A">
        <w:t xml:space="preserve">Para evaluar la factibilidad técnica de que </w:t>
      </w:r>
      <w:r w:rsidR="00D273CF">
        <w:t>e</w:t>
      </w:r>
      <w:r w:rsidR="00F5660A">
        <w:t xml:space="preserve">l cambio de uso de suelo </w:t>
      </w:r>
      <w:r w:rsidR="00D273CF">
        <w:t xml:space="preserve">diseñado </w:t>
      </w:r>
      <w:r w:rsidR="00F5660A">
        <w:t xml:space="preserve">pueda ser soportado por la infraestructura disponible de agua potable y alcantarillado por parte de Aguas Andinas </w:t>
      </w:r>
      <w:r w:rsidR="00D273CF">
        <w:t xml:space="preserve">S.A. </w:t>
      </w:r>
      <w:r w:rsidR="00F5660A">
        <w:t>se recurre a compara</w:t>
      </w:r>
      <w:r w:rsidR="00D273CF">
        <w:t>r</w:t>
      </w:r>
      <w:r w:rsidR="00F5660A">
        <w:t xml:space="preserve"> las demandas de agua en </w:t>
      </w:r>
      <w:r w:rsidR="00F639C7">
        <w:t xml:space="preserve">dos </w:t>
      </w:r>
      <w:r w:rsidR="00F5660A">
        <w:t>situaciones</w:t>
      </w:r>
      <w:r w:rsidR="00F639C7">
        <w:t xml:space="preserve">, una de base en función de las densidades mínimas definidas en la zona del entorno (Zu2) de 400 hab/ha y otra en función de la densidad máxima propuesta por esta modificación normativa de 1800 hab/ha. </w:t>
      </w:r>
    </w:p>
    <w:p w:rsidR="00F639C7" w:rsidRDefault="00F639C7" w:rsidP="00F639C7">
      <w:pPr>
        <w:pStyle w:val="Prrafodelista"/>
        <w:ind w:left="1440"/>
        <w:jc w:val="both"/>
      </w:pPr>
    </w:p>
    <w:p w:rsidR="008C6B77" w:rsidRDefault="008C6B77" w:rsidP="008C6B77">
      <w:pPr>
        <w:pStyle w:val="Prrafodelista"/>
        <w:ind w:left="1440"/>
        <w:jc w:val="both"/>
      </w:pPr>
      <w:r>
        <w:rPr>
          <w:b/>
        </w:rPr>
        <w:t>CASO 1:</w:t>
      </w:r>
      <w:r>
        <w:t xml:space="preserve"> DENSIDAD DE 400 (</w:t>
      </w:r>
      <w:r w:rsidR="00CA1EDF">
        <w:t>H</w:t>
      </w:r>
      <w:r>
        <w:t>ab/Há)</w:t>
      </w:r>
    </w:p>
    <w:tbl>
      <w:tblPr>
        <w:tblW w:w="5000" w:type="pct"/>
        <w:tblLayout w:type="fixed"/>
        <w:tblCellMar>
          <w:left w:w="70" w:type="dxa"/>
          <w:right w:w="70" w:type="dxa"/>
        </w:tblCellMar>
        <w:tblLook w:val="04A0"/>
      </w:tblPr>
      <w:tblGrid>
        <w:gridCol w:w="681"/>
        <w:gridCol w:w="1394"/>
        <w:gridCol w:w="1358"/>
        <w:gridCol w:w="901"/>
        <w:gridCol w:w="699"/>
        <w:gridCol w:w="565"/>
        <w:gridCol w:w="781"/>
        <w:gridCol w:w="592"/>
        <w:gridCol w:w="640"/>
        <w:gridCol w:w="693"/>
        <w:gridCol w:w="640"/>
        <w:gridCol w:w="603"/>
      </w:tblGrid>
      <w:tr w:rsidR="0008407C" w:rsidRPr="00F5660A" w:rsidTr="006D1130">
        <w:trPr>
          <w:trHeight w:val="600"/>
        </w:trPr>
        <w:tc>
          <w:tcPr>
            <w:tcW w:w="357"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F5660A" w:rsidRPr="00F5660A" w:rsidRDefault="00F5660A"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SECTOR</w:t>
            </w:r>
          </w:p>
        </w:tc>
        <w:tc>
          <w:tcPr>
            <w:tcW w:w="730"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F5660A" w:rsidRPr="00F5660A" w:rsidRDefault="00F5660A"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USO SUELO ACTUAL</w:t>
            </w:r>
          </w:p>
        </w:tc>
        <w:tc>
          <w:tcPr>
            <w:tcW w:w="711"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F5660A" w:rsidRPr="00F5660A" w:rsidRDefault="00F5660A"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NUEVO USO SUELO</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F5660A" w:rsidRPr="00F5660A" w:rsidRDefault="00F5660A"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SUPERFICIE</w:t>
            </w:r>
          </w:p>
        </w:tc>
        <w:tc>
          <w:tcPr>
            <w:tcW w:w="66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5660A" w:rsidRPr="00F5660A" w:rsidRDefault="00F5660A"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DENSIDADES (H/Há)</w:t>
            </w:r>
          </w:p>
        </w:tc>
        <w:tc>
          <w:tcPr>
            <w:tcW w:w="71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5660A" w:rsidRPr="00F5660A" w:rsidRDefault="00F5660A"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POBLACIÓN (H)</w:t>
            </w:r>
          </w:p>
        </w:tc>
        <w:tc>
          <w:tcPr>
            <w:tcW w:w="698" w:type="pct"/>
            <w:gridSpan w:val="2"/>
            <w:tcBorders>
              <w:top w:val="single" w:sz="4" w:space="0" w:color="auto"/>
              <w:left w:val="nil"/>
              <w:bottom w:val="single" w:sz="4" w:space="0" w:color="auto"/>
              <w:right w:val="single" w:sz="4" w:space="0" w:color="000000"/>
            </w:tcBorders>
            <w:shd w:val="clear" w:color="auto" w:fill="auto"/>
            <w:vAlign w:val="bottom"/>
            <w:hideMark/>
          </w:tcPr>
          <w:p w:rsidR="00F5660A" w:rsidRPr="00F5660A" w:rsidRDefault="00F5660A"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DOTACIONES (l/H/d)-(l/m2/d)</w:t>
            </w:r>
          </w:p>
        </w:tc>
        <w:tc>
          <w:tcPr>
            <w:tcW w:w="651" w:type="pct"/>
            <w:gridSpan w:val="2"/>
            <w:tcBorders>
              <w:top w:val="single" w:sz="4" w:space="0" w:color="auto"/>
              <w:left w:val="nil"/>
              <w:bottom w:val="single" w:sz="4" w:space="0" w:color="auto"/>
              <w:right w:val="single" w:sz="4" w:space="0" w:color="000000"/>
            </w:tcBorders>
            <w:shd w:val="clear" w:color="auto" w:fill="auto"/>
            <w:vAlign w:val="bottom"/>
            <w:hideMark/>
          </w:tcPr>
          <w:p w:rsidR="00F5660A" w:rsidRPr="00F5660A" w:rsidRDefault="00F5660A"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CONSUMOS (m3/d)</w:t>
            </w:r>
          </w:p>
        </w:tc>
      </w:tr>
      <w:tr w:rsidR="0008407C" w:rsidRPr="00F5660A" w:rsidTr="006D1130">
        <w:trPr>
          <w:trHeight w:val="24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F5660A" w:rsidRPr="00F5660A" w:rsidRDefault="00F5660A" w:rsidP="0008407C">
            <w:pPr>
              <w:spacing w:after="0" w:line="240" w:lineRule="auto"/>
              <w:jc w:val="center"/>
              <w:rPr>
                <w:rFonts w:ascii="Calibri" w:eastAsia="Times New Roman" w:hAnsi="Calibri" w:cs="Times New Roman"/>
                <w:color w:val="000000"/>
                <w:sz w:val="16"/>
                <w:szCs w:val="16"/>
                <w:lang w:val="es-CL" w:eastAsia="es-CL"/>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F5660A" w:rsidRPr="00F5660A" w:rsidRDefault="00F5660A" w:rsidP="0008407C">
            <w:pPr>
              <w:spacing w:after="0" w:line="240" w:lineRule="auto"/>
              <w:jc w:val="center"/>
              <w:rPr>
                <w:rFonts w:ascii="Calibri" w:eastAsia="Times New Roman" w:hAnsi="Calibri" w:cs="Times New Roman"/>
                <w:color w:val="000000"/>
                <w:sz w:val="16"/>
                <w:szCs w:val="16"/>
                <w:lang w:val="es-CL" w:eastAsia="es-CL"/>
              </w:rPr>
            </w:pP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F5660A" w:rsidRPr="00F5660A" w:rsidRDefault="00F5660A" w:rsidP="0008407C">
            <w:pPr>
              <w:spacing w:after="0" w:line="240" w:lineRule="auto"/>
              <w:jc w:val="center"/>
              <w:rPr>
                <w:rFonts w:ascii="Calibri" w:eastAsia="Times New Roman" w:hAnsi="Calibri" w:cs="Times New Roman"/>
                <w:color w:val="000000"/>
                <w:sz w:val="16"/>
                <w:szCs w:val="16"/>
                <w:lang w:val="es-CL" w:eastAsia="es-CL"/>
              </w:rPr>
            </w:pP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F5660A" w:rsidRPr="00F5660A" w:rsidRDefault="0008407C"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Bruta (m2)</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F5660A" w:rsidRPr="00F5660A" w:rsidRDefault="0008407C"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Actual</w:t>
            </w:r>
          </w:p>
        </w:tc>
        <w:tc>
          <w:tcPr>
            <w:tcW w:w="296" w:type="pct"/>
            <w:tcBorders>
              <w:top w:val="single" w:sz="4" w:space="0" w:color="auto"/>
              <w:left w:val="nil"/>
              <w:bottom w:val="single" w:sz="4" w:space="0" w:color="auto"/>
              <w:right w:val="single" w:sz="4" w:space="0" w:color="auto"/>
            </w:tcBorders>
            <w:shd w:val="clear" w:color="auto" w:fill="auto"/>
            <w:noWrap/>
            <w:vAlign w:val="bottom"/>
            <w:hideMark/>
          </w:tcPr>
          <w:p w:rsidR="00F5660A" w:rsidRPr="00F5660A" w:rsidRDefault="0008407C"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Nueva</w:t>
            </w:r>
          </w:p>
        </w:tc>
        <w:tc>
          <w:tcPr>
            <w:tcW w:w="409" w:type="pct"/>
            <w:tcBorders>
              <w:top w:val="single" w:sz="4" w:space="0" w:color="auto"/>
              <w:left w:val="nil"/>
              <w:bottom w:val="single" w:sz="4" w:space="0" w:color="auto"/>
              <w:right w:val="single" w:sz="4" w:space="0" w:color="auto"/>
            </w:tcBorders>
            <w:shd w:val="clear" w:color="auto" w:fill="auto"/>
            <w:noWrap/>
            <w:vAlign w:val="bottom"/>
            <w:hideMark/>
          </w:tcPr>
          <w:p w:rsidR="00F5660A" w:rsidRPr="00F5660A" w:rsidRDefault="0008407C"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Actual</w:t>
            </w:r>
          </w:p>
        </w:tc>
        <w:tc>
          <w:tcPr>
            <w:tcW w:w="310" w:type="pct"/>
            <w:tcBorders>
              <w:top w:val="single" w:sz="4" w:space="0" w:color="auto"/>
              <w:left w:val="nil"/>
              <w:bottom w:val="single" w:sz="4" w:space="0" w:color="auto"/>
              <w:right w:val="single" w:sz="4" w:space="0" w:color="auto"/>
            </w:tcBorders>
            <w:shd w:val="clear" w:color="auto" w:fill="auto"/>
            <w:noWrap/>
            <w:vAlign w:val="bottom"/>
            <w:hideMark/>
          </w:tcPr>
          <w:p w:rsidR="00F5660A" w:rsidRPr="00F5660A" w:rsidRDefault="0008407C"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Nueva</w:t>
            </w:r>
          </w:p>
        </w:tc>
        <w:tc>
          <w:tcPr>
            <w:tcW w:w="335" w:type="pct"/>
            <w:tcBorders>
              <w:top w:val="single" w:sz="4" w:space="0" w:color="auto"/>
              <w:left w:val="nil"/>
              <w:bottom w:val="single" w:sz="4" w:space="0" w:color="auto"/>
              <w:right w:val="single" w:sz="4" w:space="0" w:color="auto"/>
            </w:tcBorders>
            <w:shd w:val="clear" w:color="auto" w:fill="auto"/>
            <w:noWrap/>
            <w:vAlign w:val="bottom"/>
            <w:hideMark/>
          </w:tcPr>
          <w:p w:rsidR="00F5660A" w:rsidRPr="00F5660A" w:rsidRDefault="0008407C"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Actual</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rsidR="00F5660A" w:rsidRPr="00F5660A" w:rsidRDefault="0008407C"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Nueva</w:t>
            </w:r>
          </w:p>
        </w:tc>
        <w:tc>
          <w:tcPr>
            <w:tcW w:w="335" w:type="pct"/>
            <w:tcBorders>
              <w:top w:val="single" w:sz="4" w:space="0" w:color="auto"/>
              <w:left w:val="nil"/>
              <w:bottom w:val="single" w:sz="4" w:space="0" w:color="auto"/>
              <w:right w:val="single" w:sz="4" w:space="0" w:color="auto"/>
            </w:tcBorders>
            <w:shd w:val="clear" w:color="auto" w:fill="auto"/>
            <w:noWrap/>
            <w:vAlign w:val="bottom"/>
            <w:hideMark/>
          </w:tcPr>
          <w:p w:rsidR="00F5660A" w:rsidRPr="00F5660A" w:rsidRDefault="0008407C"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Actual</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F5660A" w:rsidRPr="00F5660A" w:rsidRDefault="0008407C"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Nuevo</w:t>
            </w:r>
          </w:p>
        </w:tc>
      </w:tr>
      <w:tr w:rsidR="00913A67" w:rsidRPr="00F5660A" w:rsidTr="000E4C4A">
        <w:trPr>
          <w:trHeight w:val="687"/>
        </w:trPr>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A67" w:rsidRPr="00F5660A" w:rsidRDefault="00913A67" w:rsidP="0008407C">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TATIO</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0E4C4A" w:rsidRDefault="000E4C4A" w:rsidP="000E4C4A">
            <w:pPr>
              <w:spacing w:after="0" w:line="240" w:lineRule="auto"/>
              <w:jc w:val="center"/>
              <w:rPr>
                <w:rFonts w:ascii="Calibri" w:eastAsia="Times New Roman" w:hAnsi="Calibri" w:cs="Times New Roman"/>
                <w:color w:val="000000"/>
                <w:sz w:val="16"/>
                <w:szCs w:val="16"/>
                <w:lang w:val="es-CL" w:eastAsia="es-CL"/>
              </w:rPr>
            </w:pPr>
            <w:r w:rsidRPr="000E4C4A">
              <w:rPr>
                <w:rFonts w:ascii="Calibri" w:eastAsia="Times New Roman" w:hAnsi="Calibri" w:cs="Times New Roman"/>
                <w:color w:val="000000"/>
                <w:sz w:val="16"/>
                <w:szCs w:val="16"/>
                <w:lang w:val="es-CL" w:eastAsia="es-CL"/>
              </w:rPr>
              <w:t>Equipamiento Recreacional y Deportivo</w:t>
            </w:r>
          </w:p>
          <w:p w:rsidR="000E4C4A" w:rsidRPr="00F5660A" w:rsidRDefault="00913A67" w:rsidP="000E4C4A">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EC-1</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0E4C4A" w:rsidRPr="000E4C4A" w:rsidRDefault="000E4C4A" w:rsidP="000E4C4A">
            <w:pPr>
              <w:spacing w:after="0" w:line="240" w:lineRule="auto"/>
              <w:jc w:val="center"/>
              <w:rPr>
                <w:rFonts w:ascii="Calibri" w:eastAsia="Times New Roman" w:hAnsi="Calibri" w:cs="Times New Roman"/>
                <w:color w:val="000000"/>
                <w:sz w:val="16"/>
                <w:szCs w:val="16"/>
                <w:lang w:val="es-CL" w:eastAsia="es-CL"/>
              </w:rPr>
            </w:pPr>
            <w:r w:rsidRPr="000E4C4A">
              <w:rPr>
                <w:rFonts w:ascii="Calibri" w:eastAsia="Times New Roman" w:hAnsi="Calibri" w:cs="Times New Roman"/>
                <w:color w:val="000000"/>
                <w:sz w:val="16"/>
                <w:szCs w:val="16"/>
                <w:lang w:val="es-CL" w:eastAsia="es-CL"/>
              </w:rPr>
              <w:t>Residencial de Renovación</w:t>
            </w:r>
          </w:p>
          <w:p w:rsidR="00913A67" w:rsidRPr="00F5660A" w:rsidRDefault="00913A67" w:rsidP="00D51537">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ZU-2</w:t>
            </w:r>
            <w:r w:rsidR="00D51537">
              <w:rPr>
                <w:rFonts w:ascii="Calibri" w:eastAsia="Times New Roman" w:hAnsi="Calibri" w:cs="Times New Roman"/>
                <w:color w:val="000000"/>
                <w:sz w:val="16"/>
                <w:szCs w:val="16"/>
                <w:lang w:val="es-CL" w:eastAsia="es-CL"/>
              </w:rPr>
              <w:t>’</w:t>
            </w:r>
          </w:p>
        </w:tc>
        <w:tc>
          <w:tcPr>
            <w:tcW w:w="472" w:type="pct"/>
            <w:tcBorders>
              <w:top w:val="single" w:sz="4" w:space="0" w:color="auto"/>
              <w:left w:val="nil"/>
              <w:bottom w:val="single" w:sz="8" w:space="0" w:color="auto"/>
              <w:right w:val="single" w:sz="4" w:space="0" w:color="auto"/>
            </w:tcBorders>
            <w:shd w:val="clear" w:color="auto" w:fill="auto"/>
            <w:noWrap/>
            <w:vAlign w:val="center"/>
            <w:hideMark/>
          </w:tcPr>
          <w:p w:rsidR="00913A67" w:rsidRPr="00F5660A" w:rsidRDefault="00913A67" w:rsidP="006D1130">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5500</w:t>
            </w:r>
          </w:p>
        </w:tc>
        <w:tc>
          <w:tcPr>
            <w:tcW w:w="366" w:type="pct"/>
            <w:tcBorders>
              <w:top w:val="single" w:sz="4" w:space="0" w:color="auto"/>
              <w:left w:val="nil"/>
              <w:bottom w:val="single" w:sz="8" w:space="0" w:color="auto"/>
              <w:right w:val="single" w:sz="4" w:space="0" w:color="auto"/>
            </w:tcBorders>
            <w:shd w:val="clear" w:color="auto" w:fill="auto"/>
            <w:noWrap/>
            <w:vAlign w:val="center"/>
            <w:hideMark/>
          </w:tcPr>
          <w:p w:rsidR="00913A67" w:rsidRPr="00F5660A" w:rsidRDefault="00913A67" w:rsidP="006D1130">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0</w:t>
            </w:r>
          </w:p>
        </w:tc>
        <w:tc>
          <w:tcPr>
            <w:tcW w:w="296" w:type="pct"/>
            <w:tcBorders>
              <w:top w:val="single" w:sz="4" w:space="0" w:color="auto"/>
              <w:left w:val="nil"/>
              <w:bottom w:val="single" w:sz="8" w:space="0" w:color="auto"/>
              <w:right w:val="single" w:sz="4" w:space="0" w:color="auto"/>
            </w:tcBorders>
            <w:shd w:val="clear" w:color="auto" w:fill="auto"/>
            <w:noWrap/>
            <w:vAlign w:val="center"/>
            <w:hideMark/>
          </w:tcPr>
          <w:p w:rsidR="00913A67" w:rsidRPr="00F5660A" w:rsidRDefault="00913A67" w:rsidP="006D1130">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400</w:t>
            </w:r>
          </w:p>
        </w:tc>
        <w:tc>
          <w:tcPr>
            <w:tcW w:w="409" w:type="pct"/>
            <w:tcBorders>
              <w:top w:val="single" w:sz="4" w:space="0" w:color="auto"/>
              <w:left w:val="nil"/>
              <w:bottom w:val="single" w:sz="8" w:space="0" w:color="auto"/>
              <w:right w:val="single" w:sz="4" w:space="0" w:color="auto"/>
            </w:tcBorders>
            <w:shd w:val="clear" w:color="auto" w:fill="auto"/>
            <w:noWrap/>
            <w:vAlign w:val="center"/>
            <w:hideMark/>
          </w:tcPr>
          <w:p w:rsidR="00913A67" w:rsidRPr="00F5660A" w:rsidRDefault="00913A67" w:rsidP="006D1130">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0</w:t>
            </w:r>
          </w:p>
        </w:tc>
        <w:tc>
          <w:tcPr>
            <w:tcW w:w="310" w:type="pct"/>
            <w:tcBorders>
              <w:top w:val="single" w:sz="4" w:space="0" w:color="auto"/>
              <w:left w:val="nil"/>
              <w:bottom w:val="single" w:sz="8" w:space="0" w:color="auto"/>
              <w:right w:val="single" w:sz="4" w:space="0" w:color="auto"/>
            </w:tcBorders>
            <w:shd w:val="clear" w:color="auto" w:fill="auto"/>
            <w:noWrap/>
            <w:vAlign w:val="center"/>
            <w:hideMark/>
          </w:tcPr>
          <w:p w:rsidR="00913A67" w:rsidRPr="00F5660A" w:rsidRDefault="00913A67" w:rsidP="006D1130">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220</w:t>
            </w:r>
          </w:p>
        </w:tc>
        <w:tc>
          <w:tcPr>
            <w:tcW w:w="335" w:type="pct"/>
            <w:tcBorders>
              <w:top w:val="single" w:sz="4" w:space="0" w:color="auto"/>
              <w:left w:val="nil"/>
              <w:bottom w:val="single" w:sz="8" w:space="0" w:color="auto"/>
              <w:right w:val="single" w:sz="4" w:space="0" w:color="auto"/>
            </w:tcBorders>
            <w:shd w:val="clear" w:color="auto" w:fill="auto"/>
            <w:noWrap/>
            <w:vAlign w:val="center"/>
            <w:hideMark/>
          </w:tcPr>
          <w:p w:rsidR="00913A67" w:rsidRPr="00913A67" w:rsidRDefault="00913A67" w:rsidP="006D1130">
            <w:pPr>
              <w:spacing w:after="0" w:line="240" w:lineRule="auto"/>
              <w:jc w:val="center"/>
              <w:rPr>
                <w:rFonts w:ascii="Calibri" w:eastAsia="Times New Roman" w:hAnsi="Calibri" w:cs="Times New Roman"/>
                <w:color w:val="000000"/>
                <w:sz w:val="16"/>
                <w:szCs w:val="16"/>
                <w:lang w:val="es-CL" w:eastAsia="es-CL"/>
              </w:rPr>
            </w:pPr>
            <w:r w:rsidRPr="00913A67">
              <w:rPr>
                <w:rFonts w:ascii="Calibri" w:eastAsia="Times New Roman" w:hAnsi="Calibri" w:cs="Times New Roman"/>
                <w:color w:val="000000"/>
                <w:sz w:val="16"/>
                <w:szCs w:val="16"/>
                <w:lang w:val="es-CL" w:eastAsia="es-CL"/>
              </w:rPr>
              <w:t>10</w:t>
            </w:r>
          </w:p>
        </w:tc>
        <w:tc>
          <w:tcPr>
            <w:tcW w:w="363" w:type="pct"/>
            <w:tcBorders>
              <w:top w:val="single" w:sz="4" w:space="0" w:color="auto"/>
              <w:left w:val="nil"/>
              <w:bottom w:val="single" w:sz="8" w:space="0" w:color="auto"/>
              <w:right w:val="single" w:sz="4" w:space="0" w:color="auto"/>
            </w:tcBorders>
            <w:shd w:val="clear" w:color="auto" w:fill="auto"/>
            <w:noWrap/>
            <w:vAlign w:val="center"/>
            <w:hideMark/>
          </w:tcPr>
          <w:p w:rsidR="00913A67" w:rsidRPr="00913A67" w:rsidRDefault="00913A67" w:rsidP="006D1130">
            <w:pPr>
              <w:spacing w:after="0" w:line="240" w:lineRule="auto"/>
              <w:jc w:val="center"/>
              <w:rPr>
                <w:rFonts w:ascii="Calibri" w:eastAsia="Times New Roman" w:hAnsi="Calibri" w:cs="Times New Roman"/>
                <w:color w:val="000000"/>
                <w:sz w:val="16"/>
                <w:szCs w:val="16"/>
                <w:lang w:val="es-CL" w:eastAsia="es-CL"/>
              </w:rPr>
            </w:pPr>
            <w:r w:rsidRPr="00913A67">
              <w:rPr>
                <w:rFonts w:ascii="Calibri" w:eastAsia="Times New Roman" w:hAnsi="Calibri" w:cs="Times New Roman"/>
                <w:color w:val="000000"/>
                <w:sz w:val="16"/>
                <w:szCs w:val="16"/>
                <w:lang w:val="es-CL" w:eastAsia="es-CL"/>
              </w:rPr>
              <w:t>386</w:t>
            </w:r>
          </w:p>
        </w:tc>
        <w:tc>
          <w:tcPr>
            <w:tcW w:w="335" w:type="pct"/>
            <w:tcBorders>
              <w:top w:val="single" w:sz="4" w:space="0" w:color="auto"/>
              <w:left w:val="nil"/>
              <w:bottom w:val="single" w:sz="8" w:space="0" w:color="auto"/>
              <w:right w:val="single" w:sz="4" w:space="0" w:color="auto"/>
            </w:tcBorders>
            <w:shd w:val="clear" w:color="auto" w:fill="auto"/>
            <w:noWrap/>
            <w:vAlign w:val="center"/>
            <w:hideMark/>
          </w:tcPr>
          <w:p w:rsidR="00913A67" w:rsidRPr="00913A67" w:rsidRDefault="00913A67" w:rsidP="006D1130">
            <w:pPr>
              <w:spacing w:after="0" w:line="240" w:lineRule="auto"/>
              <w:jc w:val="center"/>
              <w:rPr>
                <w:rFonts w:ascii="Calibri" w:eastAsia="Times New Roman" w:hAnsi="Calibri" w:cs="Times New Roman"/>
                <w:color w:val="000000"/>
                <w:sz w:val="16"/>
                <w:szCs w:val="16"/>
                <w:lang w:val="es-CL" w:eastAsia="es-CL"/>
              </w:rPr>
            </w:pPr>
            <w:r w:rsidRPr="00913A67">
              <w:rPr>
                <w:rFonts w:ascii="Calibri" w:eastAsia="Times New Roman" w:hAnsi="Calibri" w:cs="Times New Roman"/>
                <w:color w:val="000000"/>
                <w:sz w:val="16"/>
                <w:szCs w:val="16"/>
                <w:lang w:val="es-CL" w:eastAsia="es-CL"/>
              </w:rPr>
              <w:t>55</w:t>
            </w:r>
          </w:p>
        </w:tc>
        <w:tc>
          <w:tcPr>
            <w:tcW w:w="316" w:type="pct"/>
            <w:tcBorders>
              <w:top w:val="single" w:sz="4" w:space="0" w:color="auto"/>
              <w:left w:val="nil"/>
              <w:bottom w:val="single" w:sz="8" w:space="0" w:color="auto"/>
              <w:right w:val="single" w:sz="8" w:space="0" w:color="auto"/>
            </w:tcBorders>
            <w:shd w:val="clear" w:color="auto" w:fill="auto"/>
            <w:noWrap/>
            <w:vAlign w:val="center"/>
            <w:hideMark/>
          </w:tcPr>
          <w:p w:rsidR="00913A67" w:rsidRPr="00913A67" w:rsidRDefault="00913A67" w:rsidP="006D1130">
            <w:pPr>
              <w:spacing w:after="0" w:line="240" w:lineRule="auto"/>
              <w:jc w:val="center"/>
              <w:rPr>
                <w:rFonts w:ascii="Calibri" w:eastAsia="Times New Roman" w:hAnsi="Calibri" w:cs="Times New Roman"/>
                <w:color w:val="000000"/>
                <w:sz w:val="16"/>
                <w:szCs w:val="16"/>
                <w:lang w:val="es-CL" w:eastAsia="es-CL"/>
              </w:rPr>
            </w:pPr>
            <w:r w:rsidRPr="00913A67">
              <w:rPr>
                <w:rFonts w:ascii="Calibri" w:eastAsia="Times New Roman" w:hAnsi="Calibri" w:cs="Times New Roman"/>
                <w:color w:val="000000"/>
                <w:sz w:val="16"/>
                <w:szCs w:val="16"/>
                <w:lang w:val="es-CL" w:eastAsia="es-CL"/>
              </w:rPr>
              <w:t>84,92</w:t>
            </w:r>
          </w:p>
        </w:tc>
      </w:tr>
    </w:tbl>
    <w:p w:rsidR="00CA1EDF" w:rsidRDefault="00CA1EDF" w:rsidP="00CA1EDF">
      <w:pPr>
        <w:pStyle w:val="Prrafodelista"/>
        <w:ind w:left="851"/>
        <w:jc w:val="both"/>
      </w:pPr>
    </w:p>
    <w:p w:rsidR="00393304" w:rsidRDefault="00CA1EDF" w:rsidP="00CA1EDF">
      <w:pPr>
        <w:pStyle w:val="Prrafodelista"/>
        <w:ind w:left="851"/>
        <w:jc w:val="both"/>
      </w:pPr>
      <w:r w:rsidRPr="00CA1EDF">
        <w:t>Aguas Andinas S.A. asigna una densidad habitacional de 3 habitantes por vivienda, con lo que la población residente del sector El Tatio ocupa</w:t>
      </w:r>
      <w:r>
        <w:t>ría en este caso sería de</w:t>
      </w:r>
      <w:r w:rsidRPr="00CA1EDF">
        <w:t xml:space="preserve"> 220/3= 73 viviendas. </w:t>
      </w:r>
      <w:r>
        <w:t xml:space="preserve"> </w:t>
      </w:r>
    </w:p>
    <w:p w:rsidR="008C6B77" w:rsidRDefault="0008407C" w:rsidP="00CA1EDF">
      <w:pPr>
        <w:pStyle w:val="Prrafodelista"/>
        <w:ind w:left="851"/>
        <w:jc w:val="both"/>
      </w:pPr>
      <w:r>
        <w:t xml:space="preserve">Para esta comparación </w:t>
      </w:r>
      <w:r w:rsidR="00913A67">
        <w:t xml:space="preserve">en el sector El Tatio se ha asumido como condición más desfavorable que el consumo de agua en terrenos de uso deportivo es sólo de riego actualmente, y que se </w:t>
      </w:r>
      <w:r w:rsidR="00393304">
        <w:t>cambia</w:t>
      </w:r>
      <w:r w:rsidR="00913A67">
        <w:t xml:space="preserve"> a lo demandado en condición de saturación de poblamiento y la dotación media de San Miguel, </w:t>
      </w:r>
      <w:r w:rsidR="00393304">
        <w:t xml:space="preserve">386 l/habitante/día, </w:t>
      </w:r>
      <w:r w:rsidR="00913A67">
        <w:t>que es elevada para viviendas en edificios de departamentos. En est</w:t>
      </w:r>
      <w:r w:rsidR="00393304">
        <w:t>e escenario</w:t>
      </w:r>
      <w:r w:rsidR="00913A67">
        <w:t xml:space="preserve"> se comprueba que la demanda máxima potencial de agua potable esperable en le nueva situación sería inferior al 6</w:t>
      </w:r>
      <w:r w:rsidR="00393304">
        <w:t>5</w:t>
      </w:r>
      <w:r w:rsidR="00913A67">
        <w:t>% de lo asignable por Aguas Andinas,  y esta conclusión es transferible a plenitud a las demandas de servicio de alcantarillado</w:t>
      </w:r>
      <w:r w:rsidR="008C6B77">
        <w:t>:</w:t>
      </w:r>
      <w:r w:rsidR="008C6B77" w:rsidRPr="00CA1EDF">
        <w:t xml:space="preserve"> la producción de aguas servidas debe responder a los parámetros dados por Aguas Andinas para el Área Tributaria de La Farfana, con infiltración nula y coeficiente de recuperación de 0,855 respecto del consumo de agua potable, y los volúmenes diarios vertidos de aguas servidas serían de  76,6 (m3/día).</w:t>
      </w:r>
    </w:p>
    <w:p w:rsidR="00AC1963" w:rsidRPr="00CA1EDF" w:rsidRDefault="00AC1963" w:rsidP="00CA1EDF">
      <w:pPr>
        <w:pStyle w:val="Prrafodelista"/>
        <w:ind w:left="851"/>
        <w:jc w:val="both"/>
      </w:pPr>
    </w:p>
    <w:p w:rsidR="00CA1EDF" w:rsidRDefault="00CA1EDF" w:rsidP="00CA1EDF">
      <w:pPr>
        <w:pStyle w:val="Prrafodelista"/>
        <w:ind w:left="1440"/>
        <w:jc w:val="both"/>
      </w:pPr>
      <w:r>
        <w:rPr>
          <w:b/>
        </w:rPr>
        <w:t>CASO 2:</w:t>
      </w:r>
      <w:r>
        <w:t xml:space="preserve"> DENSIDAD DE 1800 (Hab/Há)</w:t>
      </w:r>
    </w:p>
    <w:p w:rsidR="00AC1963" w:rsidRPr="00AC1963" w:rsidRDefault="00AC1963" w:rsidP="00AC1963">
      <w:pPr>
        <w:pStyle w:val="Prrafodelista"/>
        <w:jc w:val="both"/>
      </w:pPr>
      <w:r w:rsidRPr="00AC1963">
        <w:t>En la alternativa de tener una densidad máxima de 1800 (Hab/Há), se llegaría a un máximo de 330 viviendas, y el resumen de consumos de agua sería el siguiente:</w:t>
      </w:r>
    </w:p>
    <w:tbl>
      <w:tblPr>
        <w:tblW w:w="4962" w:type="pct"/>
        <w:tblInd w:w="68" w:type="dxa"/>
        <w:tblLayout w:type="fixed"/>
        <w:tblCellMar>
          <w:left w:w="70" w:type="dxa"/>
          <w:right w:w="70" w:type="dxa"/>
        </w:tblCellMar>
        <w:tblLook w:val="04A0"/>
      </w:tblPr>
      <w:tblGrid>
        <w:gridCol w:w="756"/>
        <w:gridCol w:w="1389"/>
        <w:gridCol w:w="1021"/>
        <w:gridCol w:w="1054"/>
        <w:gridCol w:w="603"/>
        <w:gridCol w:w="756"/>
        <w:gridCol w:w="752"/>
        <w:gridCol w:w="603"/>
        <w:gridCol w:w="603"/>
        <w:gridCol w:w="756"/>
        <w:gridCol w:w="603"/>
        <w:gridCol w:w="578"/>
      </w:tblGrid>
      <w:tr w:rsidR="00AC1963" w:rsidRPr="00AC1963" w:rsidTr="004D715E">
        <w:trPr>
          <w:trHeight w:val="600"/>
        </w:trPr>
        <w:tc>
          <w:tcPr>
            <w:tcW w:w="399"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SECTOR</w:t>
            </w:r>
          </w:p>
        </w:tc>
        <w:tc>
          <w:tcPr>
            <w:tcW w:w="73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USO SUELO ACTUAL</w:t>
            </w:r>
          </w:p>
        </w:tc>
        <w:tc>
          <w:tcPr>
            <w:tcW w:w="539"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NUEVO USO SUELO</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SUPERFICIE</w:t>
            </w:r>
          </w:p>
        </w:tc>
        <w:tc>
          <w:tcPr>
            <w:tcW w:w="7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DENSIDADES (H/Há)</w:t>
            </w:r>
          </w:p>
        </w:tc>
        <w:tc>
          <w:tcPr>
            <w:tcW w:w="71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POBLACIÓN (H)</w:t>
            </w:r>
          </w:p>
        </w:tc>
        <w:tc>
          <w:tcPr>
            <w:tcW w:w="717" w:type="pct"/>
            <w:gridSpan w:val="2"/>
            <w:tcBorders>
              <w:top w:val="single" w:sz="4" w:space="0" w:color="auto"/>
              <w:left w:val="nil"/>
              <w:bottom w:val="single" w:sz="4" w:space="0" w:color="auto"/>
              <w:right w:val="single" w:sz="4" w:space="0" w:color="000000"/>
            </w:tcBorders>
            <w:shd w:val="clear" w:color="auto" w:fill="auto"/>
            <w:vAlign w:val="bottom"/>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DOTACIONES (l/H/d)-(l/m2/d)</w:t>
            </w:r>
          </w:p>
        </w:tc>
        <w:tc>
          <w:tcPr>
            <w:tcW w:w="623" w:type="pct"/>
            <w:gridSpan w:val="2"/>
            <w:tcBorders>
              <w:top w:val="single" w:sz="4" w:space="0" w:color="auto"/>
              <w:left w:val="nil"/>
              <w:bottom w:val="single" w:sz="4" w:space="0" w:color="auto"/>
              <w:right w:val="single" w:sz="4" w:space="0" w:color="000000"/>
            </w:tcBorders>
            <w:shd w:val="clear" w:color="auto" w:fill="auto"/>
            <w:vAlign w:val="bottom"/>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CONSUMOS (m3/d)</w:t>
            </w:r>
          </w:p>
        </w:tc>
      </w:tr>
      <w:tr w:rsidR="00AC1963" w:rsidRPr="00AC1963" w:rsidTr="004D715E">
        <w:trPr>
          <w:trHeight w:val="240"/>
        </w:trPr>
        <w:tc>
          <w:tcPr>
            <w:tcW w:w="399" w:type="pct"/>
            <w:vMerge/>
            <w:tcBorders>
              <w:top w:val="single" w:sz="4" w:space="0" w:color="auto"/>
              <w:left w:val="single" w:sz="4" w:space="0" w:color="auto"/>
              <w:bottom w:val="single" w:sz="4" w:space="0" w:color="auto"/>
              <w:right w:val="single" w:sz="4" w:space="0" w:color="auto"/>
            </w:tcBorders>
            <w:vAlign w:val="center"/>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Bruta (m2)</w:t>
            </w:r>
          </w:p>
        </w:tc>
        <w:tc>
          <w:tcPr>
            <w:tcW w:w="318" w:type="pct"/>
            <w:tcBorders>
              <w:top w:val="single" w:sz="4" w:space="0" w:color="auto"/>
              <w:left w:val="nil"/>
              <w:bottom w:val="single" w:sz="4" w:space="0" w:color="auto"/>
              <w:right w:val="single" w:sz="4" w:space="0" w:color="auto"/>
            </w:tcBorders>
            <w:shd w:val="clear" w:color="auto" w:fill="auto"/>
            <w:noWrap/>
            <w:vAlign w:val="bottom"/>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Actual</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Nueva</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Actual</w:t>
            </w:r>
          </w:p>
        </w:tc>
        <w:tc>
          <w:tcPr>
            <w:tcW w:w="318" w:type="pct"/>
            <w:tcBorders>
              <w:top w:val="single" w:sz="4" w:space="0" w:color="auto"/>
              <w:left w:val="nil"/>
              <w:bottom w:val="single" w:sz="4" w:space="0" w:color="auto"/>
              <w:right w:val="single" w:sz="4" w:space="0" w:color="auto"/>
            </w:tcBorders>
            <w:shd w:val="clear" w:color="auto" w:fill="auto"/>
            <w:noWrap/>
            <w:vAlign w:val="bottom"/>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Nueva</w:t>
            </w:r>
          </w:p>
        </w:tc>
        <w:tc>
          <w:tcPr>
            <w:tcW w:w="318" w:type="pct"/>
            <w:tcBorders>
              <w:top w:val="single" w:sz="4" w:space="0" w:color="auto"/>
              <w:left w:val="nil"/>
              <w:bottom w:val="single" w:sz="4" w:space="0" w:color="auto"/>
              <w:right w:val="single" w:sz="4" w:space="0" w:color="auto"/>
            </w:tcBorders>
            <w:shd w:val="clear" w:color="auto" w:fill="auto"/>
            <w:noWrap/>
            <w:vAlign w:val="bottom"/>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Actual</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Nueva</w:t>
            </w:r>
          </w:p>
        </w:tc>
        <w:tc>
          <w:tcPr>
            <w:tcW w:w="318" w:type="pct"/>
            <w:tcBorders>
              <w:top w:val="single" w:sz="4" w:space="0" w:color="auto"/>
              <w:left w:val="nil"/>
              <w:bottom w:val="single" w:sz="4" w:space="0" w:color="auto"/>
              <w:right w:val="single" w:sz="4" w:space="0" w:color="auto"/>
            </w:tcBorders>
            <w:shd w:val="clear" w:color="auto" w:fill="auto"/>
            <w:noWrap/>
            <w:vAlign w:val="bottom"/>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Actual</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AC1963" w:rsidRPr="00AC1963" w:rsidRDefault="00AC1963" w:rsidP="004D715E">
            <w:pPr>
              <w:spacing w:after="0" w:line="240" w:lineRule="auto"/>
              <w:jc w:val="center"/>
              <w:rPr>
                <w:rFonts w:ascii="Calibri" w:eastAsia="Times New Roman" w:hAnsi="Calibri" w:cs="Times New Roman"/>
                <w:sz w:val="16"/>
                <w:szCs w:val="16"/>
                <w:lang w:val="es-CL" w:eastAsia="es-CL"/>
              </w:rPr>
            </w:pPr>
            <w:r w:rsidRPr="00AC1963">
              <w:rPr>
                <w:rFonts w:ascii="Calibri" w:eastAsia="Times New Roman" w:hAnsi="Calibri" w:cs="Times New Roman"/>
                <w:sz w:val="16"/>
                <w:szCs w:val="16"/>
                <w:lang w:val="es-CL" w:eastAsia="es-CL"/>
              </w:rPr>
              <w:t>Nuevo</w:t>
            </w:r>
          </w:p>
        </w:tc>
      </w:tr>
      <w:tr w:rsidR="00AC1963" w:rsidRPr="00AC1963" w:rsidTr="004D715E">
        <w:trPr>
          <w:trHeight w:val="611"/>
        </w:trPr>
        <w:tc>
          <w:tcPr>
            <w:tcW w:w="399"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C1963" w:rsidRPr="00AC1963" w:rsidRDefault="00AC1963" w:rsidP="004D715E">
            <w:pPr>
              <w:spacing w:after="0" w:line="240" w:lineRule="auto"/>
              <w:rPr>
                <w:rFonts w:ascii="Calibri" w:eastAsia="Times New Roman" w:hAnsi="Calibri" w:cs="Times New Roman"/>
                <w:sz w:val="16"/>
                <w:szCs w:val="16"/>
              </w:rPr>
            </w:pPr>
            <w:r w:rsidRPr="00AC1963">
              <w:rPr>
                <w:rFonts w:ascii="Calibri" w:eastAsia="Times New Roman" w:hAnsi="Calibri" w:cs="Times New Roman"/>
                <w:sz w:val="16"/>
                <w:szCs w:val="16"/>
              </w:rPr>
              <w:t>TATIO</w:t>
            </w:r>
          </w:p>
        </w:tc>
        <w:tc>
          <w:tcPr>
            <w:tcW w:w="733" w:type="pct"/>
            <w:tcBorders>
              <w:top w:val="single" w:sz="8" w:space="0" w:color="auto"/>
              <w:left w:val="nil"/>
              <w:bottom w:val="single" w:sz="8" w:space="0" w:color="auto"/>
              <w:right w:val="single" w:sz="4" w:space="0" w:color="auto"/>
            </w:tcBorders>
            <w:shd w:val="clear" w:color="auto" w:fill="auto"/>
            <w:vAlign w:val="bottom"/>
            <w:hideMark/>
          </w:tcPr>
          <w:p w:rsidR="00AC1963" w:rsidRPr="00AC1963" w:rsidRDefault="00AC1963" w:rsidP="004D715E">
            <w:pPr>
              <w:spacing w:after="0" w:line="240" w:lineRule="auto"/>
              <w:rPr>
                <w:rFonts w:ascii="Calibri" w:eastAsia="Times New Roman" w:hAnsi="Calibri" w:cs="Times New Roman"/>
                <w:sz w:val="16"/>
                <w:szCs w:val="16"/>
              </w:rPr>
            </w:pPr>
            <w:r w:rsidRPr="00AC1963">
              <w:rPr>
                <w:rFonts w:ascii="Calibri" w:eastAsia="Times New Roman" w:hAnsi="Calibri" w:cs="Times New Roman"/>
                <w:sz w:val="16"/>
                <w:szCs w:val="16"/>
              </w:rPr>
              <w:t>EC-1 Equipamiento y Áreas Verdes</w:t>
            </w:r>
          </w:p>
        </w:tc>
        <w:tc>
          <w:tcPr>
            <w:tcW w:w="539" w:type="pct"/>
            <w:tcBorders>
              <w:top w:val="single" w:sz="8" w:space="0" w:color="auto"/>
              <w:left w:val="nil"/>
              <w:bottom w:val="single" w:sz="8" w:space="0" w:color="auto"/>
              <w:right w:val="single" w:sz="4" w:space="0" w:color="auto"/>
            </w:tcBorders>
            <w:shd w:val="clear" w:color="auto" w:fill="auto"/>
            <w:vAlign w:val="bottom"/>
            <w:hideMark/>
          </w:tcPr>
          <w:p w:rsidR="00AC1963" w:rsidRPr="00AC1963" w:rsidRDefault="00AC1963" w:rsidP="004D715E">
            <w:pPr>
              <w:spacing w:after="0" w:line="240" w:lineRule="auto"/>
              <w:rPr>
                <w:rFonts w:ascii="Calibri" w:eastAsia="Times New Roman" w:hAnsi="Calibri" w:cs="Times New Roman"/>
                <w:sz w:val="16"/>
                <w:szCs w:val="16"/>
              </w:rPr>
            </w:pPr>
            <w:r w:rsidRPr="00AC1963">
              <w:rPr>
                <w:rFonts w:ascii="Calibri" w:eastAsia="Times New Roman" w:hAnsi="Calibri" w:cs="Times New Roman"/>
                <w:sz w:val="16"/>
                <w:szCs w:val="16"/>
              </w:rPr>
              <w:t>ZU-2 Vivienda Social</w:t>
            </w:r>
          </w:p>
        </w:tc>
        <w:tc>
          <w:tcPr>
            <w:tcW w:w="556" w:type="pct"/>
            <w:tcBorders>
              <w:top w:val="single" w:sz="8" w:space="0" w:color="auto"/>
              <w:left w:val="nil"/>
              <w:bottom w:val="single" w:sz="8" w:space="0" w:color="auto"/>
              <w:right w:val="single" w:sz="4" w:space="0" w:color="auto"/>
            </w:tcBorders>
            <w:shd w:val="clear" w:color="auto" w:fill="auto"/>
            <w:noWrap/>
            <w:vAlign w:val="bottom"/>
            <w:hideMark/>
          </w:tcPr>
          <w:p w:rsidR="00AC1963" w:rsidRPr="00AC1963" w:rsidRDefault="00AC1963" w:rsidP="004D715E">
            <w:pPr>
              <w:spacing w:after="0" w:line="240" w:lineRule="auto"/>
              <w:jc w:val="right"/>
              <w:rPr>
                <w:rFonts w:ascii="Calibri" w:eastAsia="Times New Roman" w:hAnsi="Calibri" w:cs="Times New Roman"/>
                <w:sz w:val="16"/>
                <w:szCs w:val="16"/>
              </w:rPr>
            </w:pPr>
            <w:r w:rsidRPr="00AC1963">
              <w:rPr>
                <w:rFonts w:ascii="Calibri" w:eastAsia="Times New Roman" w:hAnsi="Calibri" w:cs="Times New Roman"/>
                <w:sz w:val="16"/>
                <w:szCs w:val="16"/>
              </w:rPr>
              <w:t>5500</w:t>
            </w:r>
          </w:p>
        </w:tc>
        <w:tc>
          <w:tcPr>
            <w:tcW w:w="318" w:type="pct"/>
            <w:tcBorders>
              <w:top w:val="single" w:sz="8" w:space="0" w:color="auto"/>
              <w:left w:val="nil"/>
              <w:bottom w:val="single" w:sz="8" w:space="0" w:color="auto"/>
              <w:right w:val="single" w:sz="4" w:space="0" w:color="auto"/>
            </w:tcBorders>
            <w:shd w:val="clear" w:color="auto" w:fill="auto"/>
            <w:noWrap/>
            <w:vAlign w:val="bottom"/>
            <w:hideMark/>
          </w:tcPr>
          <w:p w:rsidR="00AC1963" w:rsidRPr="00AC1963" w:rsidRDefault="00AC1963" w:rsidP="004D715E">
            <w:pPr>
              <w:spacing w:after="0" w:line="240" w:lineRule="auto"/>
              <w:jc w:val="right"/>
              <w:rPr>
                <w:rFonts w:ascii="Calibri" w:eastAsia="Times New Roman" w:hAnsi="Calibri" w:cs="Times New Roman"/>
                <w:sz w:val="16"/>
                <w:szCs w:val="16"/>
              </w:rPr>
            </w:pPr>
            <w:r w:rsidRPr="00AC1963">
              <w:rPr>
                <w:rFonts w:ascii="Calibri" w:eastAsia="Times New Roman" w:hAnsi="Calibri" w:cs="Times New Roman"/>
                <w:sz w:val="16"/>
                <w:szCs w:val="16"/>
              </w:rPr>
              <w:t>0</w:t>
            </w:r>
          </w:p>
        </w:tc>
        <w:tc>
          <w:tcPr>
            <w:tcW w:w="399" w:type="pct"/>
            <w:tcBorders>
              <w:top w:val="single" w:sz="8" w:space="0" w:color="auto"/>
              <w:left w:val="nil"/>
              <w:bottom w:val="single" w:sz="8" w:space="0" w:color="auto"/>
              <w:right w:val="single" w:sz="4" w:space="0" w:color="auto"/>
            </w:tcBorders>
            <w:shd w:val="clear" w:color="auto" w:fill="auto"/>
            <w:noWrap/>
            <w:vAlign w:val="bottom"/>
            <w:hideMark/>
          </w:tcPr>
          <w:p w:rsidR="00AC1963" w:rsidRPr="00AC1963" w:rsidRDefault="00AC1963" w:rsidP="004D715E">
            <w:pPr>
              <w:spacing w:after="0" w:line="240" w:lineRule="auto"/>
              <w:jc w:val="right"/>
              <w:rPr>
                <w:rFonts w:ascii="Calibri" w:eastAsia="Times New Roman" w:hAnsi="Calibri" w:cs="Times New Roman"/>
                <w:sz w:val="16"/>
                <w:szCs w:val="16"/>
              </w:rPr>
            </w:pPr>
            <w:r w:rsidRPr="00AC1963">
              <w:rPr>
                <w:rFonts w:ascii="Calibri" w:eastAsia="Times New Roman" w:hAnsi="Calibri" w:cs="Times New Roman"/>
                <w:sz w:val="16"/>
                <w:szCs w:val="16"/>
              </w:rPr>
              <w:t>1800</w:t>
            </w:r>
          </w:p>
        </w:tc>
        <w:tc>
          <w:tcPr>
            <w:tcW w:w="397" w:type="pct"/>
            <w:tcBorders>
              <w:top w:val="single" w:sz="8" w:space="0" w:color="auto"/>
              <w:left w:val="nil"/>
              <w:bottom w:val="single" w:sz="8" w:space="0" w:color="auto"/>
              <w:right w:val="single" w:sz="4" w:space="0" w:color="auto"/>
            </w:tcBorders>
            <w:shd w:val="clear" w:color="auto" w:fill="auto"/>
            <w:noWrap/>
            <w:vAlign w:val="bottom"/>
            <w:hideMark/>
          </w:tcPr>
          <w:p w:rsidR="00AC1963" w:rsidRPr="00AC1963" w:rsidRDefault="00AC1963" w:rsidP="004D715E">
            <w:pPr>
              <w:spacing w:after="0" w:line="240" w:lineRule="auto"/>
              <w:jc w:val="right"/>
              <w:rPr>
                <w:rFonts w:ascii="Calibri" w:eastAsia="Times New Roman" w:hAnsi="Calibri" w:cs="Times New Roman"/>
                <w:sz w:val="16"/>
                <w:szCs w:val="16"/>
              </w:rPr>
            </w:pPr>
            <w:r w:rsidRPr="00AC1963">
              <w:rPr>
                <w:rFonts w:ascii="Calibri" w:eastAsia="Times New Roman" w:hAnsi="Calibri" w:cs="Times New Roman"/>
                <w:sz w:val="16"/>
                <w:szCs w:val="16"/>
              </w:rPr>
              <w:t>0</w:t>
            </w:r>
          </w:p>
        </w:tc>
        <w:tc>
          <w:tcPr>
            <w:tcW w:w="318" w:type="pct"/>
            <w:tcBorders>
              <w:top w:val="single" w:sz="8" w:space="0" w:color="auto"/>
              <w:left w:val="nil"/>
              <w:bottom w:val="single" w:sz="8" w:space="0" w:color="auto"/>
              <w:right w:val="single" w:sz="4" w:space="0" w:color="auto"/>
            </w:tcBorders>
            <w:shd w:val="clear" w:color="auto" w:fill="auto"/>
            <w:noWrap/>
            <w:vAlign w:val="bottom"/>
            <w:hideMark/>
          </w:tcPr>
          <w:p w:rsidR="00AC1963" w:rsidRPr="00AC1963" w:rsidRDefault="00AC1963" w:rsidP="004D715E">
            <w:pPr>
              <w:spacing w:after="0" w:line="240" w:lineRule="auto"/>
              <w:jc w:val="right"/>
              <w:rPr>
                <w:rFonts w:ascii="Calibri" w:eastAsia="Times New Roman" w:hAnsi="Calibri" w:cs="Times New Roman"/>
                <w:sz w:val="16"/>
                <w:szCs w:val="16"/>
              </w:rPr>
            </w:pPr>
            <w:r w:rsidRPr="00AC1963">
              <w:rPr>
                <w:rFonts w:ascii="Calibri" w:eastAsia="Times New Roman" w:hAnsi="Calibri" w:cs="Times New Roman"/>
                <w:sz w:val="16"/>
                <w:szCs w:val="16"/>
              </w:rPr>
              <w:t>990</w:t>
            </w:r>
          </w:p>
        </w:tc>
        <w:tc>
          <w:tcPr>
            <w:tcW w:w="318" w:type="pct"/>
            <w:tcBorders>
              <w:top w:val="single" w:sz="8" w:space="0" w:color="auto"/>
              <w:left w:val="nil"/>
              <w:bottom w:val="single" w:sz="8" w:space="0" w:color="auto"/>
              <w:right w:val="single" w:sz="4" w:space="0" w:color="auto"/>
            </w:tcBorders>
            <w:shd w:val="clear" w:color="auto" w:fill="auto"/>
            <w:noWrap/>
            <w:vAlign w:val="bottom"/>
            <w:hideMark/>
          </w:tcPr>
          <w:p w:rsidR="00AC1963" w:rsidRPr="00AC1963" w:rsidRDefault="00AC1963" w:rsidP="004D715E">
            <w:pPr>
              <w:spacing w:after="0" w:line="240" w:lineRule="auto"/>
              <w:jc w:val="right"/>
              <w:rPr>
                <w:rFonts w:ascii="Calibri" w:eastAsia="Times New Roman" w:hAnsi="Calibri" w:cs="Times New Roman"/>
                <w:sz w:val="16"/>
                <w:szCs w:val="16"/>
              </w:rPr>
            </w:pPr>
            <w:r w:rsidRPr="00AC1963">
              <w:rPr>
                <w:rFonts w:ascii="Calibri" w:eastAsia="Times New Roman" w:hAnsi="Calibri" w:cs="Times New Roman"/>
                <w:sz w:val="16"/>
                <w:szCs w:val="16"/>
              </w:rPr>
              <w:t>10</w:t>
            </w:r>
          </w:p>
        </w:tc>
        <w:tc>
          <w:tcPr>
            <w:tcW w:w="399" w:type="pct"/>
            <w:tcBorders>
              <w:top w:val="single" w:sz="8" w:space="0" w:color="auto"/>
              <w:left w:val="nil"/>
              <w:bottom w:val="single" w:sz="8" w:space="0" w:color="auto"/>
              <w:right w:val="single" w:sz="4" w:space="0" w:color="auto"/>
            </w:tcBorders>
            <w:shd w:val="clear" w:color="auto" w:fill="auto"/>
            <w:noWrap/>
            <w:vAlign w:val="bottom"/>
            <w:hideMark/>
          </w:tcPr>
          <w:p w:rsidR="00AC1963" w:rsidRPr="00AC1963" w:rsidRDefault="00AC1963" w:rsidP="004D715E">
            <w:pPr>
              <w:spacing w:after="0" w:line="240" w:lineRule="auto"/>
              <w:jc w:val="right"/>
              <w:rPr>
                <w:rFonts w:ascii="Calibri" w:eastAsia="Times New Roman" w:hAnsi="Calibri" w:cs="Times New Roman"/>
                <w:sz w:val="16"/>
                <w:szCs w:val="16"/>
              </w:rPr>
            </w:pPr>
            <w:r w:rsidRPr="00AC1963">
              <w:rPr>
                <w:rFonts w:ascii="Calibri" w:eastAsia="Times New Roman" w:hAnsi="Calibri" w:cs="Times New Roman"/>
                <w:sz w:val="16"/>
                <w:szCs w:val="16"/>
              </w:rPr>
              <w:t>386</w:t>
            </w:r>
          </w:p>
        </w:tc>
        <w:tc>
          <w:tcPr>
            <w:tcW w:w="318" w:type="pct"/>
            <w:tcBorders>
              <w:top w:val="single" w:sz="8" w:space="0" w:color="auto"/>
              <w:left w:val="nil"/>
              <w:bottom w:val="single" w:sz="8" w:space="0" w:color="auto"/>
              <w:right w:val="single" w:sz="4" w:space="0" w:color="auto"/>
            </w:tcBorders>
            <w:shd w:val="clear" w:color="auto" w:fill="auto"/>
            <w:noWrap/>
            <w:vAlign w:val="bottom"/>
            <w:hideMark/>
          </w:tcPr>
          <w:p w:rsidR="00AC1963" w:rsidRPr="00AC1963" w:rsidRDefault="00AC1963" w:rsidP="004D715E">
            <w:pPr>
              <w:spacing w:after="0" w:line="240" w:lineRule="auto"/>
              <w:jc w:val="right"/>
              <w:rPr>
                <w:rFonts w:ascii="Calibri" w:eastAsia="Times New Roman" w:hAnsi="Calibri" w:cs="Times New Roman"/>
                <w:sz w:val="16"/>
                <w:szCs w:val="16"/>
              </w:rPr>
            </w:pPr>
            <w:r w:rsidRPr="00AC1963">
              <w:rPr>
                <w:rFonts w:ascii="Calibri" w:eastAsia="Times New Roman" w:hAnsi="Calibri" w:cs="Times New Roman"/>
                <w:sz w:val="16"/>
                <w:szCs w:val="16"/>
              </w:rPr>
              <w:t>55</w:t>
            </w:r>
          </w:p>
        </w:tc>
        <w:tc>
          <w:tcPr>
            <w:tcW w:w="305" w:type="pct"/>
            <w:tcBorders>
              <w:top w:val="single" w:sz="8" w:space="0" w:color="auto"/>
              <w:left w:val="nil"/>
              <w:bottom w:val="single" w:sz="8" w:space="0" w:color="auto"/>
              <w:right w:val="single" w:sz="8" w:space="0" w:color="auto"/>
            </w:tcBorders>
            <w:shd w:val="clear" w:color="auto" w:fill="auto"/>
            <w:noWrap/>
            <w:vAlign w:val="bottom"/>
            <w:hideMark/>
          </w:tcPr>
          <w:p w:rsidR="00AC1963" w:rsidRPr="00AC1963" w:rsidRDefault="00AC1963" w:rsidP="004D715E">
            <w:pPr>
              <w:spacing w:after="0" w:line="240" w:lineRule="auto"/>
              <w:jc w:val="right"/>
              <w:rPr>
                <w:rFonts w:ascii="Calibri" w:eastAsia="Times New Roman" w:hAnsi="Calibri" w:cs="Times New Roman"/>
                <w:sz w:val="16"/>
                <w:szCs w:val="16"/>
              </w:rPr>
            </w:pPr>
            <w:r w:rsidRPr="00AC1963">
              <w:rPr>
                <w:rFonts w:ascii="Calibri" w:eastAsia="Times New Roman" w:hAnsi="Calibri" w:cs="Times New Roman"/>
                <w:sz w:val="16"/>
                <w:szCs w:val="16"/>
              </w:rPr>
              <w:t>382.1</w:t>
            </w:r>
          </w:p>
        </w:tc>
      </w:tr>
    </w:tbl>
    <w:p w:rsidR="00AC1963" w:rsidRPr="00AC1963" w:rsidRDefault="00AC1963" w:rsidP="00AC1963">
      <w:pPr>
        <w:pStyle w:val="Prrafodelista"/>
        <w:jc w:val="both"/>
      </w:pPr>
    </w:p>
    <w:p w:rsidR="00AC1963" w:rsidRPr="00AC1963" w:rsidRDefault="00AC1963" w:rsidP="00AC1963">
      <w:pPr>
        <w:pStyle w:val="Prrafodelista"/>
        <w:jc w:val="both"/>
      </w:pPr>
      <w:r w:rsidRPr="00AC1963">
        <w:lastRenderedPageBreak/>
        <w:t>En est</w:t>
      </w:r>
      <w:r>
        <w:t>e</w:t>
      </w:r>
      <w:r w:rsidRPr="00AC1963">
        <w:t xml:space="preserve"> caso los volúmenes diarios vertidos de aguas servidas alcanzarían a 326,7 (m</w:t>
      </w:r>
      <w:r w:rsidRPr="00AC1963">
        <w:rPr>
          <w:vertAlign w:val="superscript"/>
        </w:rPr>
        <w:t>3</w:t>
      </w:r>
      <w:r w:rsidRPr="00AC1963">
        <w:t xml:space="preserve">/día). Debe hacerse la salvedad de que si se tratase de viviendas en departamentos, debería corregirse la dotación global de San Miguel de 386 (l/Hab/día) a un 50% por lo menos </w:t>
      </w:r>
    </w:p>
    <w:p w:rsidR="00B242A0" w:rsidRDefault="00AC1963" w:rsidP="00B242A0">
      <w:pPr>
        <w:pStyle w:val="Prrafodelista"/>
        <w:jc w:val="both"/>
      </w:pPr>
      <w:r w:rsidRPr="00C86092">
        <w:rPr>
          <w:color w:val="0070C0"/>
        </w:rPr>
        <w:t xml:space="preserve"> </w:t>
      </w:r>
      <w:r w:rsidR="00BE25BC">
        <w:t xml:space="preserve">Los planos de servicios que se acompañan muestran que tanto en </w:t>
      </w:r>
      <w:r w:rsidR="00393304">
        <w:t>a</w:t>
      </w:r>
      <w:r w:rsidR="00BE25BC">
        <w:t xml:space="preserve">gua potable como en alcantarillado se cuenta con redes de cañerías principales inmediatas al área en estudio, </w:t>
      </w:r>
      <w:r>
        <w:t xml:space="preserve">con indicación de sus características físicas relevantes, </w:t>
      </w:r>
      <w:r w:rsidR="00BE25BC">
        <w:t>y que estas son más que suficientes para cualquier</w:t>
      </w:r>
      <w:r w:rsidR="00393304">
        <w:t xml:space="preserve"> variación de</w:t>
      </w:r>
      <w:r w:rsidR="00BE25BC">
        <w:t xml:space="preserve"> demanda; por otra pa</w:t>
      </w:r>
      <w:r w:rsidR="00393304">
        <w:t>rte, la inclusión por parte de A</w:t>
      </w:r>
      <w:r w:rsidR="00BE25BC">
        <w:t xml:space="preserve">guas Andinas en su Plan de Desarrollo de la reposición de conducciones de alcantarillado en condición de obsolescencia en </w:t>
      </w:r>
      <w:r w:rsidR="00393304">
        <w:t xml:space="preserve">la comuna </w:t>
      </w:r>
      <w:r w:rsidR="00BE25BC">
        <w:t>previene  contingencias que afecten la prestación de la recolección</w:t>
      </w:r>
      <w:r>
        <w:t>, y esta situación es objeto de revaluación cada 5 años.</w:t>
      </w:r>
      <w:r w:rsidR="00BE25BC">
        <w:t xml:space="preserve"> En consecuencia se puede aseverar que técnicamente, desde el punto vista de los servicios sanitarios, el cambio que se aborda no tiene impedimento para mantener e incluso mejorar la calidad de servicio.</w:t>
      </w:r>
    </w:p>
    <w:p w:rsidR="00B242A0" w:rsidRDefault="00B242A0" w:rsidP="00740F95">
      <w:pPr>
        <w:pStyle w:val="Prrafodelista"/>
        <w:ind w:left="1440"/>
        <w:rPr>
          <w:b/>
        </w:rPr>
      </w:pPr>
    </w:p>
    <w:p w:rsidR="00B242A0" w:rsidRDefault="00B242A0" w:rsidP="00740F95">
      <w:pPr>
        <w:pStyle w:val="Prrafodelista"/>
        <w:ind w:left="1440"/>
        <w:rPr>
          <w:b/>
        </w:rPr>
      </w:pPr>
    </w:p>
    <w:p w:rsidR="00F5660A" w:rsidRDefault="00B242A0" w:rsidP="00740F95">
      <w:pPr>
        <w:pStyle w:val="Prrafodelista"/>
        <w:ind w:left="1440"/>
        <w:rPr>
          <w:b/>
        </w:rPr>
      </w:pPr>
      <w:r>
        <w:rPr>
          <w:b/>
          <w:noProof/>
          <w:lang w:val="es-ES" w:eastAsia="es-ES"/>
        </w:rPr>
        <w:drawing>
          <wp:anchor distT="0" distB="0" distL="114300" distR="114300" simplePos="0" relativeHeight="251663360" behindDoc="0" locked="0" layoutInCell="1" allowOverlap="1">
            <wp:simplePos x="0" y="0"/>
            <wp:positionH relativeFrom="column">
              <wp:posOffset>343535</wp:posOffset>
            </wp:positionH>
            <wp:positionV relativeFrom="paragraph">
              <wp:posOffset>1098550</wp:posOffset>
            </wp:positionV>
            <wp:extent cx="5323840" cy="3059430"/>
            <wp:effectExtent l="19050" t="19050" r="10160" b="26670"/>
            <wp:wrapTopAndBottom/>
            <wp:docPr id="8" name="Imagen 8" descr="D:\RESPALDO HP 22042012\Proyectos\PCTOS EN AVANCE\SELECTIVA S MIGUEL\PRC SAN MIGUEL\observacionesseremiSET2013\fwdreconsulta\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 HP 22042012\Proyectos\PCTOS EN AVANCE\SELECTIVA S MIGUEL\PRC SAN MIGUEL\observacionesseremiSET2013\fwdreconsulta\image004.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3840" cy="3059430"/>
                    </a:xfrm>
                    <a:prstGeom prst="rect">
                      <a:avLst/>
                    </a:prstGeom>
                    <a:noFill/>
                    <a:ln w="12700">
                      <a:solidFill>
                        <a:schemeClr val="tx1"/>
                      </a:solidFill>
                    </a:ln>
                  </pic:spPr>
                </pic:pic>
              </a:graphicData>
            </a:graphic>
          </wp:anchor>
        </w:drawing>
      </w:r>
      <w:r>
        <w:rPr>
          <w:b/>
        </w:rPr>
        <w:t>RED DE AGUA POTABLE EN CONTORNO</w:t>
      </w:r>
    </w:p>
    <w:p w:rsidR="00B242A0" w:rsidRDefault="00B242A0" w:rsidP="00740F95">
      <w:pPr>
        <w:pStyle w:val="Prrafodelista"/>
        <w:ind w:left="1440"/>
        <w:rPr>
          <w:b/>
        </w:rPr>
      </w:pPr>
    </w:p>
    <w:p w:rsidR="00B242A0" w:rsidRDefault="00B242A0">
      <w:pPr>
        <w:rPr>
          <w:b/>
        </w:rPr>
      </w:pPr>
    </w:p>
    <w:p w:rsidR="00B242A0" w:rsidRDefault="00B242A0">
      <w:pPr>
        <w:rPr>
          <w:b/>
        </w:rPr>
      </w:pPr>
    </w:p>
    <w:p w:rsidR="00B242A0" w:rsidRDefault="00B242A0">
      <w:pPr>
        <w:rPr>
          <w:b/>
        </w:rPr>
      </w:pPr>
      <w:r>
        <w:rPr>
          <w:b/>
        </w:rPr>
        <w:br w:type="page"/>
      </w:r>
    </w:p>
    <w:p w:rsidR="00B242A0" w:rsidRDefault="00B242A0" w:rsidP="00740F95">
      <w:pPr>
        <w:pStyle w:val="Prrafodelista"/>
        <w:ind w:left="1440"/>
        <w:rPr>
          <w:b/>
        </w:rPr>
      </w:pPr>
      <w:r>
        <w:rPr>
          <w:b/>
          <w:noProof/>
          <w:lang w:val="es-ES" w:eastAsia="es-ES"/>
        </w:rPr>
        <w:lastRenderedPageBreak/>
        <w:drawing>
          <wp:anchor distT="0" distB="0" distL="114300" distR="114300" simplePos="0" relativeHeight="251664384" behindDoc="0" locked="0" layoutInCell="1" allowOverlap="1">
            <wp:simplePos x="0" y="0"/>
            <wp:positionH relativeFrom="column">
              <wp:posOffset>375920</wp:posOffset>
            </wp:positionH>
            <wp:positionV relativeFrom="paragraph">
              <wp:posOffset>388620</wp:posOffset>
            </wp:positionV>
            <wp:extent cx="5615940" cy="3147060"/>
            <wp:effectExtent l="19050" t="19050" r="22860" b="15240"/>
            <wp:wrapTopAndBottom/>
            <wp:docPr id="9" name="Imagen 9" descr="D:\RESPALDO HP 22042012\Proyectos\PCTOS EN AVANCE\SELECTIVA S MIGUEL\PRC SAN MIGUEL\observacionesseremiSET2013\fwdreconsulta\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 HP 22042012\Proyectos\PCTOS EN AVANCE\SELECTIVA S MIGUEL\PRC SAN MIGUEL\observacionesseremiSET2013\fwdreconsulta\image001.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940" cy="3147060"/>
                    </a:xfrm>
                    <a:prstGeom prst="rect">
                      <a:avLst/>
                    </a:prstGeom>
                    <a:noFill/>
                    <a:ln w="12700">
                      <a:solidFill>
                        <a:schemeClr val="tx1"/>
                      </a:solidFill>
                    </a:ln>
                  </pic:spPr>
                </pic:pic>
              </a:graphicData>
            </a:graphic>
          </wp:anchor>
        </w:drawing>
      </w:r>
      <w:r>
        <w:rPr>
          <w:b/>
        </w:rPr>
        <w:t>RED DE ALCANTARILLADO EN CONTORNO</w:t>
      </w:r>
    </w:p>
    <w:p w:rsidR="00B242A0" w:rsidRDefault="00B242A0" w:rsidP="00740F95">
      <w:pPr>
        <w:pStyle w:val="Prrafodelista"/>
        <w:ind w:left="1440"/>
        <w:rPr>
          <w:b/>
        </w:rPr>
      </w:pPr>
    </w:p>
    <w:p w:rsidR="00B242A0" w:rsidRDefault="00B242A0" w:rsidP="00740F95">
      <w:pPr>
        <w:pStyle w:val="Prrafodelista"/>
        <w:ind w:left="1440"/>
        <w:rPr>
          <w:b/>
        </w:rPr>
      </w:pPr>
    </w:p>
    <w:p w:rsidR="00B242A0" w:rsidRPr="002977C2" w:rsidRDefault="00B242A0" w:rsidP="00740F95">
      <w:pPr>
        <w:pStyle w:val="Prrafodelista"/>
        <w:ind w:left="1440"/>
        <w:rPr>
          <w:b/>
        </w:rPr>
      </w:pPr>
    </w:p>
    <w:p w:rsidR="00EA2693" w:rsidRDefault="00EA2693" w:rsidP="00ED3278">
      <w:pPr>
        <w:pStyle w:val="Prrafodelista"/>
        <w:numPr>
          <w:ilvl w:val="1"/>
          <w:numId w:val="1"/>
        </w:numPr>
        <w:jc w:val="both"/>
      </w:pPr>
      <w:r w:rsidRPr="002977C2">
        <w:rPr>
          <w:b/>
        </w:rPr>
        <w:t>Aguas Lluvia</w:t>
      </w:r>
      <w:r w:rsidR="00F5660A" w:rsidRPr="002977C2">
        <w:rPr>
          <w:b/>
        </w:rPr>
        <w:t>.</w:t>
      </w:r>
      <w:r w:rsidR="00ED3278">
        <w:t xml:space="preserve"> En plano </w:t>
      </w:r>
      <w:r w:rsidR="00393304">
        <w:t xml:space="preserve">conjunto </w:t>
      </w:r>
      <w:r w:rsidR="00ED3278">
        <w:t xml:space="preserve">de aguas servidas y aguas lluvia se muestra que </w:t>
      </w:r>
      <w:r w:rsidR="00393304">
        <w:t>e</w:t>
      </w:r>
      <w:r w:rsidR="00ED3278">
        <w:t>l</w:t>
      </w:r>
      <w:r w:rsidR="00393304">
        <w:t xml:space="preserve"> </w:t>
      </w:r>
      <w:r w:rsidR="00ED3278">
        <w:t xml:space="preserve">área en estudio de El Tatio está circundada por colectores unitarios de Aguas Andinas, y se han indicado también los sumideros de complemento en su inmediatez; esta disposición permite asegurar que los escurrimientos originados en lluvia u otros anegamientos podrán encauzarse hacia las redes de colectores con recorridos no superiores a 100 metros por las cunetas de calzadas aledañas. Así, la factibilidad técnica de recolección de las aguas de lluvia está confirmada, </w:t>
      </w:r>
      <w:r w:rsidR="00DA6896">
        <w:t>sin requerir ejecución obra alguna de refuerzo.</w:t>
      </w:r>
    </w:p>
    <w:p w:rsidR="00432910" w:rsidRDefault="00BC31A3" w:rsidP="00BC31A3">
      <w:pPr>
        <w:pStyle w:val="Prrafodelista"/>
        <w:ind w:left="1440"/>
        <w:jc w:val="both"/>
      </w:pPr>
      <w:r>
        <w:t>Independientemente de tenerse una adecuada factibilidad técnica para recoger y transportar los caudales de aguas de lluvia en las áreas estudiadas, será siempre recomendable promover el empleo de sistemas de captación y disposición de las aguas pluviales dentro de los predios, recurriendo a superficies de estacionamiento semi permeables o derechamente permeables, emplazar lagunas de retención en áreas verdes, disponer drenes o pozos de infiltración, u otros que se pueda incluir.</w:t>
      </w:r>
    </w:p>
    <w:p w:rsidR="00432910" w:rsidRDefault="00432910">
      <w:r>
        <w:br w:type="page"/>
      </w:r>
    </w:p>
    <w:p w:rsidR="00BC31A3" w:rsidRPr="00232E39" w:rsidRDefault="00BC31A3" w:rsidP="00BC31A3">
      <w:pPr>
        <w:pStyle w:val="Prrafodelista"/>
        <w:ind w:left="1440"/>
        <w:jc w:val="both"/>
      </w:pPr>
    </w:p>
    <w:p w:rsidR="00BD0421" w:rsidRDefault="00BD0421" w:rsidP="00ED3278">
      <w:pPr>
        <w:pStyle w:val="Prrafodelista"/>
        <w:ind w:left="1068"/>
        <w:jc w:val="both"/>
        <w:rPr>
          <w:sz w:val="32"/>
        </w:rPr>
      </w:pPr>
    </w:p>
    <w:p w:rsidR="00BD0421" w:rsidRDefault="00BD0421" w:rsidP="00ED3278">
      <w:pPr>
        <w:pStyle w:val="Prrafodelista"/>
        <w:ind w:left="1068"/>
        <w:jc w:val="both"/>
        <w:rPr>
          <w:sz w:val="32"/>
        </w:rPr>
      </w:pPr>
    </w:p>
    <w:p w:rsidR="00BD0421" w:rsidRDefault="00BD0421" w:rsidP="00ED3278">
      <w:pPr>
        <w:pStyle w:val="Prrafodelista"/>
        <w:ind w:left="1068"/>
        <w:jc w:val="both"/>
        <w:rPr>
          <w:sz w:val="32"/>
        </w:rPr>
      </w:pPr>
    </w:p>
    <w:p w:rsidR="00BD0421" w:rsidRDefault="00BD0421" w:rsidP="00ED3278">
      <w:pPr>
        <w:pStyle w:val="Prrafodelista"/>
        <w:ind w:left="1068"/>
        <w:jc w:val="both"/>
        <w:rPr>
          <w:sz w:val="32"/>
        </w:rPr>
      </w:pPr>
    </w:p>
    <w:p w:rsidR="00BD0421" w:rsidRDefault="00BD0421" w:rsidP="00ED3278">
      <w:pPr>
        <w:pStyle w:val="Prrafodelista"/>
        <w:ind w:left="1068"/>
        <w:jc w:val="both"/>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r>
        <w:rPr>
          <w:sz w:val="32"/>
        </w:rPr>
        <w:t>ANEXO N° 1</w:t>
      </w:r>
    </w:p>
    <w:p w:rsidR="00EB2373" w:rsidRPr="00BD0421" w:rsidRDefault="00BD0421" w:rsidP="00BD0421">
      <w:pPr>
        <w:pStyle w:val="Prrafodelista"/>
        <w:ind w:left="1068"/>
        <w:jc w:val="center"/>
        <w:rPr>
          <w:sz w:val="32"/>
        </w:rPr>
      </w:pPr>
      <w:r w:rsidRPr="00BD0421">
        <w:rPr>
          <w:sz w:val="32"/>
        </w:rPr>
        <w:t>INFORMACIÓN DE FACTIBILIDAD DE AGUAS ANDINAS S.A.</w:t>
      </w:r>
    </w:p>
    <w:p w:rsidR="00441D19" w:rsidRDefault="00313BD0">
      <w:r>
        <w:br w:type="page"/>
      </w:r>
    </w:p>
    <w:p w:rsidR="0037754C" w:rsidRDefault="0037754C" w:rsidP="0037754C">
      <w:pPr>
        <w:autoSpaceDE w:val="0"/>
        <w:autoSpaceDN w:val="0"/>
        <w:adjustRightInd w:val="0"/>
        <w:spacing w:after="0" w:line="240" w:lineRule="auto"/>
        <w:rPr>
          <w:rFonts w:ascii="Arial" w:hAnsi="Arial" w:cs="Arial"/>
          <w:sz w:val="2"/>
          <w:szCs w:val="2"/>
          <w:lang w:val="es-CL"/>
        </w:rPr>
      </w:pPr>
    </w:p>
    <w:p w:rsidR="0037754C" w:rsidRDefault="0037754C" w:rsidP="0037754C">
      <w:pPr>
        <w:autoSpaceDE w:val="0"/>
        <w:autoSpaceDN w:val="0"/>
        <w:adjustRightInd w:val="0"/>
        <w:spacing w:after="0" w:line="240" w:lineRule="auto"/>
        <w:rPr>
          <w:rFonts w:ascii="Arial" w:hAnsi="Arial" w:cs="Arial"/>
          <w:sz w:val="2"/>
          <w:szCs w:val="2"/>
          <w:lang w:val="es-CL"/>
        </w:rPr>
      </w:pPr>
    </w:p>
    <w:p w:rsidR="0037754C" w:rsidRDefault="0037754C" w:rsidP="0037754C">
      <w:pPr>
        <w:autoSpaceDE w:val="0"/>
        <w:autoSpaceDN w:val="0"/>
        <w:adjustRightInd w:val="0"/>
        <w:spacing w:after="0" w:line="240" w:lineRule="auto"/>
        <w:rPr>
          <w:rFonts w:ascii="Arial" w:hAnsi="Arial" w:cs="Arial"/>
          <w:sz w:val="2"/>
          <w:szCs w:val="2"/>
          <w:lang w:val="es-CL"/>
        </w:rPr>
      </w:pPr>
    </w:p>
    <w:p w:rsidR="0037754C" w:rsidRDefault="0037754C" w:rsidP="0037754C">
      <w:pPr>
        <w:autoSpaceDE w:val="0"/>
        <w:autoSpaceDN w:val="0"/>
        <w:adjustRightInd w:val="0"/>
        <w:spacing w:after="0" w:line="240" w:lineRule="auto"/>
        <w:rPr>
          <w:rFonts w:ascii="Arial" w:hAnsi="Arial" w:cs="Arial"/>
          <w:sz w:val="2"/>
          <w:szCs w:val="2"/>
          <w:lang w:val="es-CL"/>
        </w:rPr>
      </w:pPr>
    </w:p>
    <w:p w:rsidR="0037754C" w:rsidRDefault="0037754C">
      <w:r>
        <w:rPr>
          <w:noProof/>
          <w:lang w:val="es-ES" w:eastAsia="es-ES"/>
        </w:rPr>
        <w:drawing>
          <wp:inline distT="0" distB="0" distL="0" distR="0">
            <wp:extent cx="5076967" cy="7083188"/>
            <wp:effectExtent l="19050" t="0" r="9383"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7216" t="3214" r="7853" b="4107"/>
                    <a:stretch>
                      <a:fillRect/>
                    </a:stretch>
                  </pic:blipFill>
                  <pic:spPr bwMode="auto">
                    <a:xfrm>
                      <a:off x="0" y="0"/>
                      <a:ext cx="5076967" cy="7083188"/>
                    </a:xfrm>
                    <a:prstGeom prst="rect">
                      <a:avLst/>
                    </a:prstGeom>
                    <a:noFill/>
                    <a:ln w="9525">
                      <a:noFill/>
                      <a:miter lim="800000"/>
                      <a:headEnd/>
                      <a:tailEnd/>
                    </a:ln>
                  </pic:spPr>
                </pic:pic>
              </a:graphicData>
            </a:graphic>
          </wp:inline>
        </w:drawing>
      </w:r>
    </w:p>
    <w:p w:rsidR="0037754C" w:rsidRDefault="0037754C"/>
    <w:p w:rsidR="00441D19" w:rsidRDefault="00441D19">
      <w:r>
        <w:br w:type="page"/>
      </w:r>
      <w:r w:rsidR="0037754C">
        <w:rPr>
          <w:noProof/>
          <w:lang w:val="es-ES" w:eastAsia="es-ES"/>
        </w:rPr>
        <w:lastRenderedPageBreak/>
        <w:drawing>
          <wp:inline distT="0" distB="0" distL="0" distR="0">
            <wp:extent cx="5401964" cy="7233313"/>
            <wp:effectExtent l="19050" t="0" r="8236"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7216" t="2317" r="2462" b="3209"/>
                    <a:stretch>
                      <a:fillRect/>
                    </a:stretch>
                  </pic:blipFill>
                  <pic:spPr bwMode="auto">
                    <a:xfrm>
                      <a:off x="0" y="0"/>
                      <a:ext cx="5401964" cy="7233313"/>
                    </a:xfrm>
                    <a:prstGeom prst="rect">
                      <a:avLst/>
                    </a:prstGeom>
                    <a:noFill/>
                    <a:ln w="9525">
                      <a:noFill/>
                      <a:miter lim="800000"/>
                      <a:headEnd/>
                      <a:tailEnd/>
                    </a:ln>
                  </pic:spPr>
                </pic:pic>
              </a:graphicData>
            </a:graphic>
          </wp:inline>
        </w:drawing>
      </w:r>
    </w:p>
    <w:p w:rsidR="0037754C" w:rsidRDefault="0037754C" w:rsidP="00441D19">
      <w:pPr>
        <w:sectPr w:rsidR="0037754C" w:rsidSect="00441D19">
          <w:footerReference w:type="default" r:id="rId15"/>
          <w:pgSz w:w="12242" w:h="15842" w:code="1"/>
          <w:pgMar w:top="2268" w:right="1134" w:bottom="1134" w:left="1701" w:header="567" w:footer="851" w:gutter="0"/>
          <w:cols w:space="708"/>
          <w:docGrid w:linePitch="360"/>
        </w:sectPr>
      </w:pPr>
      <w:r>
        <w:rPr>
          <w:noProof/>
          <w:lang w:val="es-ES" w:eastAsia="es-ES"/>
        </w:rPr>
        <w:lastRenderedPageBreak/>
        <w:drawing>
          <wp:inline distT="0" distB="0" distL="0" distR="0">
            <wp:extent cx="5088066" cy="7110483"/>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8129" t="2326" r="6798" b="4472"/>
                    <a:stretch>
                      <a:fillRect/>
                    </a:stretch>
                  </pic:blipFill>
                  <pic:spPr bwMode="auto">
                    <a:xfrm>
                      <a:off x="0" y="0"/>
                      <a:ext cx="5088066" cy="7110483"/>
                    </a:xfrm>
                    <a:prstGeom prst="rect">
                      <a:avLst/>
                    </a:prstGeom>
                    <a:noFill/>
                    <a:ln w="9525">
                      <a:noFill/>
                      <a:miter lim="800000"/>
                      <a:headEnd/>
                      <a:tailEnd/>
                    </a:ln>
                  </pic:spPr>
                </pic:pic>
              </a:graphicData>
            </a:graphic>
          </wp:inline>
        </w:drawing>
      </w:r>
    </w:p>
    <w:p w:rsidR="00313BD0" w:rsidRDefault="00160125" w:rsidP="0037754C">
      <w:r>
        <w:rPr>
          <w:noProof/>
          <w:lang w:val="es-ES" w:eastAsia="es-ES"/>
        </w:rPr>
        <w:lastRenderedPageBreak/>
        <w:drawing>
          <wp:inline distT="0" distB="0" distL="0" distR="0">
            <wp:extent cx="7726680" cy="5973445"/>
            <wp:effectExtent l="19050" t="0" r="7620" b="0"/>
            <wp:docPr id="2" name="1 Imagen" descr="AGUA POTAB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 POTABLE copy.jpg"/>
                    <pic:cNvPicPr/>
                  </pic:nvPicPr>
                  <pic:blipFill>
                    <a:blip r:embed="rId17" cstate="print"/>
                    <a:stretch>
                      <a:fillRect/>
                    </a:stretch>
                  </pic:blipFill>
                  <pic:spPr>
                    <a:xfrm>
                      <a:off x="0" y="0"/>
                      <a:ext cx="7726680" cy="5973445"/>
                    </a:xfrm>
                    <a:prstGeom prst="rect">
                      <a:avLst/>
                    </a:prstGeom>
                  </pic:spPr>
                </pic:pic>
              </a:graphicData>
            </a:graphic>
          </wp:inline>
        </w:drawing>
      </w:r>
    </w:p>
    <w:p w:rsidR="0089564D" w:rsidRPr="007E458F" w:rsidRDefault="00160125" w:rsidP="0037754C">
      <w:r>
        <w:rPr>
          <w:noProof/>
          <w:lang w:val="es-ES" w:eastAsia="es-ES"/>
        </w:rPr>
        <w:lastRenderedPageBreak/>
        <w:drawing>
          <wp:inline distT="0" distB="0" distL="0" distR="0">
            <wp:extent cx="7539355" cy="5973445"/>
            <wp:effectExtent l="19050" t="0" r="4445" b="0"/>
            <wp:docPr id="10" name="9 Imagen" descr="AGUAS SERVIDA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S SERVIDAS copy.jpg"/>
                    <pic:cNvPicPr/>
                  </pic:nvPicPr>
                  <pic:blipFill>
                    <a:blip r:embed="rId18" cstate="print"/>
                    <a:stretch>
                      <a:fillRect/>
                    </a:stretch>
                  </pic:blipFill>
                  <pic:spPr>
                    <a:xfrm>
                      <a:off x="0" y="0"/>
                      <a:ext cx="7539355" cy="5973445"/>
                    </a:xfrm>
                    <a:prstGeom prst="rect">
                      <a:avLst/>
                    </a:prstGeom>
                  </pic:spPr>
                </pic:pic>
              </a:graphicData>
            </a:graphic>
          </wp:inline>
        </w:drawing>
      </w:r>
    </w:p>
    <w:sectPr w:rsidR="0089564D" w:rsidRPr="007E458F" w:rsidSect="0037754C">
      <w:pgSz w:w="15842" w:h="12242" w:orient="landscape" w:code="1"/>
      <w:pgMar w:top="1701" w:right="2268" w:bottom="1134" w:left="1134" w:header="567"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18B" w:rsidRDefault="00ED018B" w:rsidP="0013395C">
      <w:pPr>
        <w:spacing w:after="0" w:line="240" w:lineRule="auto"/>
      </w:pPr>
      <w:r>
        <w:separator/>
      </w:r>
    </w:p>
  </w:endnote>
  <w:endnote w:type="continuationSeparator" w:id="0">
    <w:p w:rsidR="00ED018B" w:rsidRDefault="00ED018B" w:rsidP="001339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FA6" w:rsidRDefault="005375BB">
    <w:pPr>
      <w:pStyle w:val="Piedepgina"/>
      <w:jc w:val="right"/>
    </w:pPr>
    <w:r>
      <w:rPr>
        <w:rStyle w:val="Nmerodepgina"/>
      </w:rPr>
      <w:fldChar w:fldCharType="begin"/>
    </w:r>
    <w:r w:rsidR="004868B6">
      <w:rPr>
        <w:rStyle w:val="Nmerodepgina"/>
      </w:rPr>
      <w:instrText xml:space="preserve"> PAGE </w:instrText>
    </w:r>
    <w:r>
      <w:rPr>
        <w:rStyle w:val="Nmerodepgina"/>
      </w:rPr>
      <w:fldChar w:fldCharType="separate"/>
    </w:r>
    <w:r w:rsidR="00CA0E5E">
      <w:rPr>
        <w:rStyle w:val="Nmerodepgina"/>
        <w:noProof/>
      </w:rPr>
      <w:t>16</w:t>
    </w:r>
    <w:r>
      <w:rPr>
        <w:rStyle w:val="Nmerodepgina"/>
      </w:rPr>
      <w:fldChar w:fldCharType="end"/>
    </w:r>
    <w:r w:rsidR="004868B6">
      <w:rPr>
        <w:rStyle w:val="Nmerodepgina"/>
      </w:rPr>
      <w:t xml:space="preserve"> de </w:t>
    </w:r>
    <w:r>
      <w:rPr>
        <w:rStyle w:val="Nmerodepgina"/>
      </w:rPr>
      <w:fldChar w:fldCharType="begin"/>
    </w:r>
    <w:r w:rsidR="004868B6">
      <w:rPr>
        <w:rStyle w:val="Nmerodepgina"/>
      </w:rPr>
      <w:instrText xml:space="preserve"> NUMPAGES </w:instrText>
    </w:r>
    <w:r>
      <w:rPr>
        <w:rStyle w:val="Nmerodepgina"/>
      </w:rPr>
      <w:fldChar w:fldCharType="separate"/>
    </w:r>
    <w:r w:rsidR="00CA0E5E">
      <w:rPr>
        <w:rStyle w:val="Nmerodepgina"/>
        <w:noProof/>
      </w:rPr>
      <w:t>16</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18B" w:rsidRDefault="00ED018B" w:rsidP="0013395C">
      <w:pPr>
        <w:spacing w:after="0" w:line="240" w:lineRule="auto"/>
      </w:pPr>
      <w:r>
        <w:separator/>
      </w:r>
    </w:p>
  </w:footnote>
  <w:footnote w:type="continuationSeparator" w:id="0">
    <w:p w:rsidR="00ED018B" w:rsidRDefault="00ED018B" w:rsidP="001339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523F"/>
    <w:multiLevelType w:val="hybridMultilevel"/>
    <w:tmpl w:val="7396CFC8"/>
    <w:lvl w:ilvl="0" w:tplc="340A000F">
      <w:start w:val="1"/>
      <w:numFmt w:val="decimal"/>
      <w:lvlText w:val="%1."/>
      <w:lvlJc w:val="left"/>
      <w:pPr>
        <w:ind w:left="720" w:hanging="360"/>
      </w:pPr>
    </w:lvl>
    <w:lvl w:ilvl="1" w:tplc="92F65B94">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1FC318A"/>
    <w:multiLevelType w:val="hybridMultilevel"/>
    <w:tmpl w:val="BB7C2004"/>
    <w:lvl w:ilvl="0" w:tplc="BE008A72">
      <w:start w:val="2"/>
      <w:numFmt w:val="lowerLetter"/>
      <w:lvlText w:val="%1."/>
      <w:lvlJc w:val="left"/>
      <w:pPr>
        <w:ind w:left="1068" w:hanging="360"/>
      </w:pPr>
      <w:rPr>
        <w:rFonts w:hint="default"/>
      </w:r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
    <w:nsid w:val="329547C1"/>
    <w:multiLevelType w:val="hybridMultilevel"/>
    <w:tmpl w:val="41363F72"/>
    <w:lvl w:ilvl="0" w:tplc="44281126">
      <w:start w:val="2"/>
      <w:numFmt w:val="lowerLetter"/>
      <w:lvlText w:val="%1."/>
      <w:lvlJc w:val="left"/>
      <w:pPr>
        <w:ind w:left="1068" w:hanging="360"/>
      </w:pPr>
      <w:rPr>
        <w:rFonts w:hint="default"/>
      </w:r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418605C4"/>
    <w:multiLevelType w:val="hybridMultilevel"/>
    <w:tmpl w:val="CD0018EC"/>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
    <w:nsid w:val="54842666"/>
    <w:multiLevelType w:val="hybridMultilevel"/>
    <w:tmpl w:val="97947AA6"/>
    <w:lvl w:ilvl="0" w:tplc="0C0A000F">
      <w:start w:val="1"/>
      <w:numFmt w:val="decimal"/>
      <w:lvlText w:val="%1."/>
      <w:lvlJc w:val="left"/>
      <w:pPr>
        <w:tabs>
          <w:tab w:val="num" w:pos="1420"/>
        </w:tabs>
        <w:ind w:left="1420" w:hanging="360"/>
      </w:pPr>
    </w:lvl>
    <w:lvl w:ilvl="1" w:tplc="0C0A0019" w:tentative="1">
      <w:start w:val="1"/>
      <w:numFmt w:val="lowerLetter"/>
      <w:lvlText w:val="%2."/>
      <w:lvlJc w:val="left"/>
      <w:pPr>
        <w:tabs>
          <w:tab w:val="num" w:pos="2140"/>
        </w:tabs>
        <w:ind w:left="2140" w:hanging="360"/>
      </w:pPr>
    </w:lvl>
    <w:lvl w:ilvl="2" w:tplc="0C0A001B" w:tentative="1">
      <w:start w:val="1"/>
      <w:numFmt w:val="lowerRoman"/>
      <w:lvlText w:val="%3."/>
      <w:lvlJc w:val="right"/>
      <w:pPr>
        <w:tabs>
          <w:tab w:val="num" w:pos="2860"/>
        </w:tabs>
        <w:ind w:left="2860" w:hanging="180"/>
      </w:pPr>
    </w:lvl>
    <w:lvl w:ilvl="3" w:tplc="0C0A000F" w:tentative="1">
      <w:start w:val="1"/>
      <w:numFmt w:val="decimal"/>
      <w:lvlText w:val="%4."/>
      <w:lvlJc w:val="left"/>
      <w:pPr>
        <w:tabs>
          <w:tab w:val="num" w:pos="3580"/>
        </w:tabs>
        <w:ind w:left="3580" w:hanging="360"/>
      </w:pPr>
    </w:lvl>
    <w:lvl w:ilvl="4" w:tplc="0C0A0019" w:tentative="1">
      <w:start w:val="1"/>
      <w:numFmt w:val="lowerLetter"/>
      <w:lvlText w:val="%5."/>
      <w:lvlJc w:val="left"/>
      <w:pPr>
        <w:tabs>
          <w:tab w:val="num" w:pos="4300"/>
        </w:tabs>
        <w:ind w:left="4300" w:hanging="360"/>
      </w:pPr>
    </w:lvl>
    <w:lvl w:ilvl="5" w:tplc="0C0A001B" w:tentative="1">
      <w:start w:val="1"/>
      <w:numFmt w:val="lowerRoman"/>
      <w:lvlText w:val="%6."/>
      <w:lvlJc w:val="right"/>
      <w:pPr>
        <w:tabs>
          <w:tab w:val="num" w:pos="5020"/>
        </w:tabs>
        <w:ind w:left="5020" w:hanging="180"/>
      </w:pPr>
    </w:lvl>
    <w:lvl w:ilvl="6" w:tplc="0C0A000F" w:tentative="1">
      <w:start w:val="1"/>
      <w:numFmt w:val="decimal"/>
      <w:lvlText w:val="%7."/>
      <w:lvlJc w:val="left"/>
      <w:pPr>
        <w:tabs>
          <w:tab w:val="num" w:pos="5740"/>
        </w:tabs>
        <w:ind w:left="5740" w:hanging="360"/>
      </w:pPr>
    </w:lvl>
    <w:lvl w:ilvl="7" w:tplc="0C0A0019" w:tentative="1">
      <w:start w:val="1"/>
      <w:numFmt w:val="lowerLetter"/>
      <w:lvlText w:val="%8."/>
      <w:lvlJc w:val="left"/>
      <w:pPr>
        <w:tabs>
          <w:tab w:val="num" w:pos="6460"/>
        </w:tabs>
        <w:ind w:left="6460" w:hanging="360"/>
      </w:pPr>
    </w:lvl>
    <w:lvl w:ilvl="8" w:tplc="0C0A001B" w:tentative="1">
      <w:start w:val="1"/>
      <w:numFmt w:val="lowerRoman"/>
      <w:lvlText w:val="%9."/>
      <w:lvlJc w:val="right"/>
      <w:pPr>
        <w:tabs>
          <w:tab w:val="num" w:pos="7180"/>
        </w:tabs>
        <w:ind w:left="7180" w:hanging="180"/>
      </w:pPr>
    </w:lvl>
  </w:abstractNum>
  <w:abstractNum w:abstractNumId="5">
    <w:nsid w:val="73361D30"/>
    <w:multiLevelType w:val="hybridMultilevel"/>
    <w:tmpl w:val="F51CED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1089A"/>
    <w:rsid w:val="000016B0"/>
    <w:rsid w:val="0002655D"/>
    <w:rsid w:val="00036E59"/>
    <w:rsid w:val="0008407C"/>
    <w:rsid w:val="000C2643"/>
    <w:rsid w:val="000C649B"/>
    <w:rsid w:val="000E1D6A"/>
    <w:rsid w:val="000E4304"/>
    <w:rsid w:val="000E4C4A"/>
    <w:rsid w:val="001060B3"/>
    <w:rsid w:val="0013395C"/>
    <w:rsid w:val="0014096C"/>
    <w:rsid w:val="00160125"/>
    <w:rsid w:val="001645B6"/>
    <w:rsid w:val="001A0C20"/>
    <w:rsid w:val="001D300D"/>
    <w:rsid w:val="001E382D"/>
    <w:rsid w:val="001F6E5D"/>
    <w:rsid w:val="00232E39"/>
    <w:rsid w:val="002977C2"/>
    <w:rsid w:val="002A53FE"/>
    <w:rsid w:val="002B576F"/>
    <w:rsid w:val="002D298D"/>
    <w:rsid w:val="00313BD0"/>
    <w:rsid w:val="00313C53"/>
    <w:rsid w:val="0037215F"/>
    <w:rsid w:val="0037754C"/>
    <w:rsid w:val="00393304"/>
    <w:rsid w:val="003F22AA"/>
    <w:rsid w:val="00432910"/>
    <w:rsid w:val="00441D19"/>
    <w:rsid w:val="00443DA5"/>
    <w:rsid w:val="004868B6"/>
    <w:rsid w:val="004C1D6A"/>
    <w:rsid w:val="004D1046"/>
    <w:rsid w:val="004E01A1"/>
    <w:rsid w:val="005375BB"/>
    <w:rsid w:val="0059186A"/>
    <w:rsid w:val="005D0CF7"/>
    <w:rsid w:val="005D1FD3"/>
    <w:rsid w:val="005E5DB4"/>
    <w:rsid w:val="006015FC"/>
    <w:rsid w:val="0061089E"/>
    <w:rsid w:val="00623BE5"/>
    <w:rsid w:val="00624F1C"/>
    <w:rsid w:val="00642C2E"/>
    <w:rsid w:val="006536F7"/>
    <w:rsid w:val="00665AA3"/>
    <w:rsid w:val="00667441"/>
    <w:rsid w:val="006D1130"/>
    <w:rsid w:val="00710FD9"/>
    <w:rsid w:val="00740F95"/>
    <w:rsid w:val="00743996"/>
    <w:rsid w:val="00747BD4"/>
    <w:rsid w:val="00755841"/>
    <w:rsid w:val="00781315"/>
    <w:rsid w:val="007A6E2D"/>
    <w:rsid w:val="007B3EFB"/>
    <w:rsid w:val="007F3813"/>
    <w:rsid w:val="00804A10"/>
    <w:rsid w:val="0085563B"/>
    <w:rsid w:val="00882D37"/>
    <w:rsid w:val="008849D4"/>
    <w:rsid w:val="0089564D"/>
    <w:rsid w:val="008B586B"/>
    <w:rsid w:val="008C6B77"/>
    <w:rsid w:val="008F17E9"/>
    <w:rsid w:val="00913A67"/>
    <w:rsid w:val="00921997"/>
    <w:rsid w:val="009247E7"/>
    <w:rsid w:val="009432F5"/>
    <w:rsid w:val="00960DC9"/>
    <w:rsid w:val="00982034"/>
    <w:rsid w:val="00990B56"/>
    <w:rsid w:val="00A1089A"/>
    <w:rsid w:val="00A26681"/>
    <w:rsid w:val="00A37035"/>
    <w:rsid w:val="00A503BA"/>
    <w:rsid w:val="00A65581"/>
    <w:rsid w:val="00AC1963"/>
    <w:rsid w:val="00AD32B3"/>
    <w:rsid w:val="00AF0356"/>
    <w:rsid w:val="00AF74EA"/>
    <w:rsid w:val="00B048E2"/>
    <w:rsid w:val="00B242A0"/>
    <w:rsid w:val="00B74DAA"/>
    <w:rsid w:val="00B77B4A"/>
    <w:rsid w:val="00BA0D20"/>
    <w:rsid w:val="00BC31A3"/>
    <w:rsid w:val="00BD0027"/>
    <w:rsid w:val="00BD0421"/>
    <w:rsid w:val="00BD23EF"/>
    <w:rsid w:val="00BE25BC"/>
    <w:rsid w:val="00C03D44"/>
    <w:rsid w:val="00C40C20"/>
    <w:rsid w:val="00C5661B"/>
    <w:rsid w:val="00C94CC1"/>
    <w:rsid w:val="00CA0E5E"/>
    <w:rsid w:val="00CA1EDF"/>
    <w:rsid w:val="00CF5FBC"/>
    <w:rsid w:val="00D016EA"/>
    <w:rsid w:val="00D273CF"/>
    <w:rsid w:val="00D51537"/>
    <w:rsid w:val="00D65FE5"/>
    <w:rsid w:val="00D82014"/>
    <w:rsid w:val="00DA6896"/>
    <w:rsid w:val="00DD0C45"/>
    <w:rsid w:val="00DE362E"/>
    <w:rsid w:val="00DE434F"/>
    <w:rsid w:val="00DF5484"/>
    <w:rsid w:val="00E14167"/>
    <w:rsid w:val="00E2401B"/>
    <w:rsid w:val="00E26E46"/>
    <w:rsid w:val="00E32E2B"/>
    <w:rsid w:val="00E460FA"/>
    <w:rsid w:val="00E461C5"/>
    <w:rsid w:val="00E62D18"/>
    <w:rsid w:val="00EA2693"/>
    <w:rsid w:val="00EB2373"/>
    <w:rsid w:val="00EC4196"/>
    <w:rsid w:val="00ED018B"/>
    <w:rsid w:val="00ED31AC"/>
    <w:rsid w:val="00ED3278"/>
    <w:rsid w:val="00F12064"/>
    <w:rsid w:val="00F5660A"/>
    <w:rsid w:val="00F633D3"/>
    <w:rsid w:val="00F639C7"/>
    <w:rsid w:val="00FB7579"/>
    <w:rsid w:val="00FD1FA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3B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089A"/>
    <w:pPr>
      <w:ind w:left="720"/>
      <w:contextualSpacing/>
    </w:pPr>
  </w:style>
  <w:style w:type="paragraph" w:styleId="Textodeglobo">
    <w:name w:val="Balloon Text"/>
    <w:basedOn w:val="Normal"/>
    <w:link w:val="TextodegloboCar"/>
    <w:uiPriority w:val="99"/>
    <w:semiHidden/>
    <w:unhideWhenUsed/>
    <w:rsid w:val="00F633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33D3"/>
    <w:rPr>
      <w:rFonts w:ascii="Tahoma" w:hAnsi="Tahoma" w:cs="Tahoma"/>
      <w:sz w:val="16"/>
      <w:szCs w:val="16"/>
      <w:lang w:val="es-ES"/>
    </w:rPr>
  </w:style>
  <w:style w:type="paragraph" w:styleId="Textoindependiente2">
    <w:name w:val="Body Text 2"/>
    <w:basedOn w:val="Normal"/>
    <w:link w:val="Textoindependiente2Car"/>
    <w:rsid w:val="00313BD0"/>
    <w:pPr>
      <w:spacing w:after="240" w:line="240" w:lineRule="auto"/>
    </w:pPr>
    <w:rPr>
      <w:rFonts w:ascii="Times New Roman" w:eastAsia="Times New Roman" w:hAnsi="Times New Roman" w:cs="Times New Roman"/>
      <w:sz w:val="24"/>
      <w:szCs w:val="20"/>
      <w:lang w:val="es-CL" w:eastAsia="es-ES"/>
    </w:rPr>
  </w:style>
  <w:style w:type="character" w:customStyle="1" w:styleId="Textoindependiente2Car">
    <w:name w:val="Texto independiente 2 Car"/>
    <w:basedOn w:val="Fuentedeprrafopredeter"/>
    <w:link w:val="Textoindependiente2"/>
    <w:rsid w:val="00313BD0"/>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313BD0"/>
    <w:pPr>
      <w:spacing w:after="0" w:line="264" w:lineRule="auto"/>
      <w:jc w:val="both"/>
    </w:pPr>
    <w:rPr>
      <w:rFonts w:ascii="Times New Roman" w:eastAsia="Times New Roman" w:hAnsi="Times New Roman" w:cs="Times New Roman"/>
      <w:sz w:val="24"/>
      <w:szCs w:val="20"/>
      <w:lang w:val="es-CL" w:eastAsia="es-ES"/>
    </w:rPr>
  </w:style>
  <w:style w:type="character" w:customStyle="1" w:styleId="TextoindependienteCar">
    <w:name w:val="Texto independiente Car"/>
    <w:basedOn w:val="Fuentedeprrafopredeter"/>
    <w:link w:val="Textoindependiente"/>
    <w:rsid w:val="00313BD0"/>
    <w:rPr>
      <w:rFonts w:ascii="Times New Roman" w:eastAsia="Times New Roman" w:hAnsi="Times New Roman" w:cs="Times New Roman"/>
      <w:sz w:val="24"/>
      <w:szCs w:val="20"/>
      <w:lang w:eastAsia="es-ES"/>
    </w:rPr>
  </w:style>
  <w:style w:type="character" w:styleId="Nmerodepgina">
    <w:name w:val="page number"/>
    <w:basedOn w:val="Fuentedeprrafopredeter"/>
    <w:rsid w:val="00313BD0"/>
  </w:style>
  <w:style w:type="paragraph" w:styleId="Piedepgina">
    <w:name w:val="footer"/>
    <w:basedOn w:val="Normal"/>
    <w:link w:val="PiedepginaCar"/>
    <w:rsid w:val="00313BD0"/>
    <w:pPr>
      <w:tabs>
        <w:tab w:val="center" w:pos="4419"/>
        <w:tab w:val="right" w:pos="8838"/>
      </w:tabs>
      <w:spacing w:after="0" w:line="240" w:lineRule="auto"/>
    </w:pPr>
    <w:rPr>
      <w:rFonts w:ascii="Times New Roman" w:eastAsia="Times New Roman" w:hAnsi="Times New Roman" w:cs="Times New Roman"/>
      <w:sz w:val="20"/>
      <w:szCs w:val="20"/>
      <w:lang w:val="es-CL" w:eastAsia="es-ES"/>
    </w:rPr>
  </w:style>
  <w:style w:type="character" w:customStyle="1" w:styleId="PiedepginaCar">
    <w:name w:val="Pie de página Car"/>
    <w:basedOn w:val="Fuentedeprrafopredeter"/>
    <w:link w:val="Piedepgina"/>
    <w:rsid w:val="00313BD0"/>
    <w:rPr>
      <w:rFonts w:ascii="Times New Roman" w:eastAsia="Times New Roman" w:hAnsi="Times New Roman" w:cs="Times New Roman"/>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089A"/>
    <w:pPr>
      <w:ind w:left="720"/>
      <w:contextualSpacing/>
    </w:pPr>
  </w:style>
  <w:style w:type="paragraph" w:styleId="Textodeglobo">
    <w:name w:val="Balloon Text"/>
    <w:basedOn w:val="Normal"/>
    <w:link w:val="TextodegloboCar"/>
    <w:uiPriority w:val="99"/>
    <w:semiHidden/>
    <w:unhideWhenUsed/>
    <w:rsid w:val="00F633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33D3"/>
    <w:rPr>
      <w:rFonts w:ascii="Tahoma" w:hAnsi="Tahoma" w:cs="Tahoma"/>
      <w:sz w:val="16"/>
      <w:szCs w:val="16"/>
      <w:lang w:val="es-ES"/>
    </w:rPr>
  </w:style>
  <w:style w:type="paragraph" w:styleId="Textoindependiente2">
    <w:name w:val="Body Text 2"/>
    <w:basedOn w:val="Normal"/>
    <w:link w:val="Textoindependiente2Car"/>
    <w:rsid w:val="00313BD0"/>
    <w:pPr>
      <w:spacing w:after="240" w:line="240" w:lineRule="auto"/>
    </w:pPr>
    <w:rPr>
      <w:rFonts w:ascii="Times New Roman" w:eastAsia="Times New Roman" w:hAnsi="Times New Roman" w:cs="Times New Roman"/>
      <w:sz w:val="24"/>
      <w:szCs w:val="20"/>
      <w:lang w:val="es-CL" w:eastAsia="es-ES"/>
    </w:rPr>
  </w:style>
  <w:style w:type="character" w:customStyle="1" w:styleId="Textoindependiente2Car">
    <w:name w:val="Texto independiente 2 Car"/>
    <w:basedOn w:val="Fuentedeprrafopredeter"/>
    <w:link w:val="Textoindependiente2"/>
    <w:rsid w:val="00313BD0"/>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313BD0"/>
    <w:pPr>
      <w:spacing w:after="0" w:line="264" w:lineRule="auto"/>
      <w:jc w:val="both"/>
    </w:pPr>
    <w:rPr>
      <w:rFonts w:ascii="Times New Roman" w:eastAsia="Times New Roman" w:hAnsi="Times New Roman" w:cs="Times New Roman"/>
      <w:sz w:val="24"/>
      <w:szCs w:val="20"/>
      <w:lang w:val="es-CL" w:eastAsia="es-ES"/>
    </w:rPr>
  </w:style>
  <w:style w:type="character" w:customStyle="1" w:styleId="TextoindependienteCar">
    <w:name w:val="Texto independiente Car"/>
    <w:basedOn w:val="Fuentedeprrafopredeter"/>
    <w:link w:val="Textoindependiente"/>
    <w:rsid w:val="00313BD0"/>
    <w:rPr>
      <w:rFonts w:ascii="Times New Roman" w:eastAsia="Times New Roman" w:hAnsi="Times New Roman" w:cs="Times New Roman"/>
      <w:sz w:val="24"/>
      <w:szCs w:val="20"/>
      <w:lang w:eastAsia="es-ES"/>
    </w:rPr>
  </w:style>
  <w:style w:type="character" w:styleId="Nmerodepgina">
    <w:name w:val="page number"/>
    <w:basedOn w:val="Fuentedeprrafopredeter"/>
    <w:rsid w:val="00313BD0"/>
  </w:style>
  <w:style w:type="paragraph" w:styleId="Piedepgina">
    <w:name w:val="footer"/>
    <w:basedOn w:val="Normal"/>
    <w:link w:val="PiedepginaCar"/>
    <w:rsid w:val="00313BD0"/>
    <w:pPr>
      <w:tabs>
        <w:tab w:val="center" w:pos="4419"/>
        <w:tab w:val="right" w:pos="8838"/>
      </w:tabs>
      <w:spacing w:after="0" w:line="240" w:lineRule="auto"/>
    </w:pPr>
    <w:rPr>
      <w:rFonts w:ascii="Times New Roman" w:eastAsia="Times New Roman" w:hAnsi="Times New Roman" w:cs="Times New Roman"/>
      <w:sz w:val="20"/>
      <w:szCs w:val="20"/>
      <w:lang w:val="es-CL" w:eastAsia="es-ES"/>
    </w:rPr>
  </w:style>
  <w:style w:type="character" w:customStyle="1" w:styleId="PiedepginaCar">
    <w:name w:val="Pie de página Car"/>
    <w:basedOn w:val="Fuentedeprrafopredeter"/>
    <w:link w:val="Piedepgina"/>
    <w:rsid w:val="00313BD0"/>
    <w:rPr>
      <w:rFonts w:ascii="Times New Roman" w:eastAsia="Times New Roman" w:hAnsi="Times New Roman" w:cs="Times New Roman"/>
      <w:sz w:val="20"/>
      <w:szCs w:val="20"/>
      <w:lang w:eastAsia="es-ES"/>
    </w:rPr>
  </w:style>
</w:styles>
</file>

<file path=word/webSettings.xml><?xml version="1.0" encoding="utf-8"?>
<w:webSettings xmlns:r="http://schemas.openxmlformats.org/officeDocument/2006/relationships" xmlns:w="http://schemas.openxmlformats.org/wordprocessingml/2006/main">
  <w:divs>
    <w:div w:id="7079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245F8-48C5-4730-908C-CC0FF9F8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2064</Words>
  <Characters>11357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cp:lastModifiedBy>
  <cp:revision>2</cp:revision>
  <cp:lastPrinted>2013-10-04T15:43:00Z</cp:lastPrinted>
  <dcterms:created xsi:type="dcterms:W3CDTF">2015-01-28T13:51:00Z</dcterms:created>
  <dcterms:modified xsi:type="dcterms:W3CDTF">2015-01-28T13:51:00Z</dcterms:modified>
</cp:coreProperties>
</file>